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 sequence of events of this and the</w:t>
        <w:br w:type="textWrapping"/>
        <w:t xml:space="preserve">following day, see note on Matthew, ver. 1.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far as ye shall find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agreement in Matthew, Mark, and Luke</w:t>
        <w:br w:type="textWrapping"/>
        <w:t xml:space="preserve">is nearly verbal; after that, Mark and</w:t>
        <w:br w:type="textWrapping"/>
        <w:t xml:space="preserve">Luke only mention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add,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which never man sat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 with this,</w:t>
        <w:br w:type="textWrapping"/>
        <w:t xml:space="preserve">Luke xxiii.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Lord’s birth, triumph, and burial were to be, in this, alike.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observes of this part of the history,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later tradition, sprung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sacred</w:t>
        <w:br w:type="textWrapping"/>
        <w:t xml:space="preserve">destination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beast (for beasts never</w:t>
        <w:br w:type="textWrapping"/>
        <w:t xml:space="preserve">et worked were used for sacred purposes,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m. xix. 2: Deut. xxi. 3: 1 Sam. vi. 7).’</w:t>
        <w:br w:type="textWrapping"/>
        <w:t xml:space="preserve">But does it never strike such annotators,</w:t>
        <w:br w:type="textWrapping"/>
        <w:t xml:space="preserve">that this very usage would lead not only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narrative being so constructed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 itself having been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report of one of those</w:t>
        <w:br w:type="textWrapping"/>
        <w:t xml:space="preserve">sent: perhaps of Peter. The word 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place where two ways met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</w:t>
        <w:br w:type="textWrapping"/>
        <w:t xml:space="preserve">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road leading round a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probably imports simply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street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Wordsw. interprets it, ‘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the back way,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hich led round the house.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there does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not appear to be any reason for supposing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to refer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rather than to the whole block, or </w:t>
        <w:br w:type="textWrapping"/>
        <w:t xml:space="preserve">neighbourhood, of houses, round about which</w:t>
        <w:br w:type="textWrapping"/>
        <w:t xml:space="preserve">the street led. Dean Trench, on the A.V.</w:t>
        <w:br w:type="textWrapping"/>
        <w:t xml:space="preserve">p. 116, would render it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way 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crooked lane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8,9.]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{8} On the interesting addition in Luke vv. 37–40,</w:t>
        <w:br w:type="textWrapping"/>
        <w:t xml:space="preserve">see notes there.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branches]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called branches of palm-trees, John, ver. 13:</w:t>
        <w:br w:type="textWrapping"/>
        <w:t xml:space="preserve">the word signifies not merely branches,</w:t>
        <w:br w:type="textWrapping"/>
        <w:t xml:space="preserve">but branches cut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purpose of being</w:t>
        <w:br w:type="textWrapping"/>
        <w:t xml:space="preserve">littered to walk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thus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strawing in the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has been </w:t>
        <w:br w:type="textWrapping"/>
        <w:t xml:space="preserve">unskilfully supplied.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—is </w:t>
        <w:br w:type="textWrapping"/>
        <w:t xml:space="preserve">peculiar to Mark, clearly </w:t>
        <w:br w:type="textWrapping"/>
        <w:t xml:space="preserve">setting forth the idea of the people that</w:t>
        <w:br w:type="textWrapping"/>
        <w:t xml:space="preserve">the Messiah’s Kingdom, the restoration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throne of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come.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the additional particular of the weeping</w:t>
        <w:br w:type="textWrapping"/>
        <w:t xml:space="preserve">over the city, Luke, vv. 41–44, and notes.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Matthew, ver. 12, and</w:t>
        <w:br w:type="textWrapping"/>
        <w:t xml:space="preserve">notes on ver. 1: also on John ii. 13–18.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am by no means certain that the</w:t>
        <w:br w:type="textWrapping"/>
        <w:t xml:space="preserve">solution proposed in the notes on Matthew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bJk18k+aRTMJwCruJfWd7/3F7A==">CgMxLjA4AHIhMUc0dVl2eW8xUU00VmZSM0k1NWYzRHBoTGNNamk1bS1s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