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himself forward in public.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answer</w:t>
        <w:br w:type="textWrapping"/>
        <w:t xml:space="preserve">to the question, asked by themselves, is</w:t>
        <w:br w:type="textWrapping"/>
        <w:t xml:space="preserve">given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 XII. 1–12]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PARABLE OF THE</w:t>
        <w:br w:type="textWrapping"/>
        <w:t xml:space="preserve">VINEYARD LET OUT TO HUSBANDMEN.</w:t>
        <w:br w:type="textWrapping"/>
        <w:t xml:space="preserve">This parable is, for the most part, identical</w:t>
        <w:br w:type="textWrapping"/>
        <w:t xml:space="preserve">with that in Matt. xxi. 33–46, and Luke</w:t>
        <w:br w:type="textWrapping"/>
        <w:t xml:space="preserve">xx.9–19.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treatment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servants sent, is enlarged on here;</w:t>
        <w:br w:type="textWrapping"/>
        <w:t xml:space="preserve">and in ver. 4 there occurs a singular word,</w:t>
        <w:br w:type="textWrapping"/>
        <w:t xml:space="preserve">which we render,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wounded him in the</w:t>
        <w:br w:type="textWrapping"/>
        <w:t xml:space="preserve">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Some have supposed it means,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</w:t>
        <w:br w:type="textWrapping"/>
        <w:t xml:space="preserve">made short work with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the</w:t>
        <w:br w:type="textWrapping"/>
        <w:t xml:space="preserve">more usual sense of the word, but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ere; for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</w:t>
        <w:br w:type="textWrapping"/>
        <w:t xml:space="preserve">but disgracefully used him.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allow any opportunity to pass of </w:t>
        <w:br w:type="textWrapping"/>
        <w:t xml:space="preserve">directing attention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difference, in</w:t>
        <w:br w:type="textWrapping"/>
        <w:t xml:space="preserve">similarity, between these three reports,—</w:t>
        <w:br w:type="textWrapping"/>
        <w:t xml:space="preserve">and observing that no origin of that </w:t>
        <w:br w:type="textWrapping"/>
        <w:t xml:space="preserve">difference is imaginable, except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gradual</w:t>
        <w:br w:type="textWrapping"/>
        <w:t xml:space="preserve">deflection of accounts from a common, or</w:t>
        <w:br w:type="textWrapping"/>
        <w:t xml:space="preserve">a parallel 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notes on</w:t>
        <w:br w:type="textWrapping"/>
        <w:t xml:space="preserve">Matthew throughout.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will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is not the answer of the </w:t>
        <w:br w:type="textWrapping"/>
        <w:t xml:space="preserve">Pharisees, nor of the people, as the </w:t>
        <w:br w:type="textWrapping"/>
        <w:t xml:space="preserve">corresponding sentence in Matthew (see note there),</w:t>
        <w:br w:type="textWrapping"/>
        <w:t xml:space="preserve">but, here and in Luke, a continuation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VGDxNbhdDRMOD7Stwtfwsiz8A==">CgMxLjA4AHIhMXA5bXRHTGRkVUEzSmlYOGVPTmVBc2Fqb1dDWll0Yk9U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