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notes, and on Matthew throughout.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shall 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</w:t>
        <w:br w:type="textWrapping"/>
        <w:t xml:space="preserve">here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dead)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</w:t>
        <w:br w:type="textWrapping"/>
        <w:t xml:space="preserve">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wife and seven</w:t>
        <w:br w:type="textWrapping"/>
        <w:t xml:space="preserve">brothers)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on ver. 25.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shall 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general, not as in ver. 23: see last note.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 in the history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Bush (so also in Luke)]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may in</w:t>
        <w:br w:type="textWrapping"/>
        <w:t xml:space="preserve">the original mean either,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chapter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containing the history of God appearing in</w:t>
        <w:br w:type="textWrapping"/>
        <w:t xml:space="preserve">the Bush,’ 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he was 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Bush.’</w:t>
        <w:br w:type="textWrapping"/>
        <w:t xml:space="preserve">The former is the more probable, on account of the construction of the verse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text. In Luke, if we had his account</w:t>
        <w:br w:type="textWrapping"/>
        <w:t xml:space="preserve">alone, the other rendering might be admissible, ‘Moses testified, at the Bush :’but this will not answer in our text.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CONCERNING THE</w:t>
        <w:br w:type="textWrapping"/>
        <w:t xml:space="preserve">GREAT COMMANDMENT. Matt. xxii. 34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40, but with differing circumstances.</w:t>
        <w:br w:type="textWrapping"/>
        <w:t xml:space="preserve">There the question appears as that of one</w:t>
        <w:br w:type="textWrapping"/>
        <w:t xml:space="preserve">among the Pharisees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adherents, who puts</w:t>
        <w:br w:type="textWrapping"/>
        <w:t xml:space="preserve">this question,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tempting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consequence of the Pharisees coming up to</w:t>
        <w:br w:type="textWrapping"/>
        <w:t xml:space="preserve">the strife, after He had discomfited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Sadducees. I should be disposed to take</w:t>
        <w:br w:type="textWrapping"/>
        <w:t xml:space="preserve">St. Mark’s as the strictly accurate account,</w:t>
        <w:br w:type="textWrapping"/>
        <w:t xml:space="preserve">seeing that there is nothing in the </w:t>
        <w:br w:type="textWrapping"/>
        <w:t xml:space="preserve">question which indicates enmity, and our</w:t>
        <w:br w:type="textWrapping"/>
        <w:t xml:space="preserve">Lord’s answer, ver. 34, plainly precludes</w:t>
        <w:br w:type="textWrapping"/>
        <w:t xml:space="preserve">it. The man, from hearing them disputing, came up, and formed one of the</w:t>
        <w:br w:type="textWrapping"/>
        <w:t xml:space="preserve">band who gathered together for the </w:t>
        <w:br w:type="textWrapping"/>
        <w:t xml:space="preserve">purpose of tempting Him. St. Mark’s report,</w:t>
        <w:br w:type="textWrapping"/>
        <w:t xml:space="preserve">which here is wholly unconnected in origin</w:t>
        <w:br w:type="textWrapping"/>
        <w:t xml:space="preserve">with St. Matthew's, is that of some one</w:t>
        <w:br w:type="textWrapping"/>
        <w:t xml:space="preserve">who had taken accurate note of the circumstances and character of the man:</w:t>
        <w:br w:type="textWrapping"/>
        <w:t xml:space="preserve">St. Matthew’s is more general, not entering,</w:t>
        <w:br w:type="textWrapping"/>
        <w:t xml:space="preserve">as this, into individual motives, but classing</w:t>
        <w:br w:type="textWrapping"/>
        <w:t xml:space="preserve">the question broadly among the various</w:t>
        <w:br w:type="textWrapping"/>
        <w:t xml:space="preserve">“temptations” of our Lord at this time.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motive seems to have been,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admiration of our Lord's wise answer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a desire to be instructed further by</w:t>
        <w:br w:type="textWrapping"/>
        <w:t xml:space="preserve">Him.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first commandment of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—this was one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“strivings about the</w:t>
        <w:br w:type="textWrapping"/>
        <w:t xml:space="preserve">law”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(Titus iii. 9),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—which was the greatest</w:t>
        <w:br w:type="textWrapping"/>
        <w:t xml:space="preserve">commandment.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Scribes had many frivolous enumerations and classifications</w:t>
        <w:br w:type="textWrapping"/>
        <w:t xml:space="preserve">of the commands of the law.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P6Wxa0tlNQp1myxmWP12zdUn+g==">AMUW2mXAa+90SAKitnaq7LXvX8ne5uzrt6T68cIIjW+Pps7IMcuF+vKiHFPuDGJxHB2mR2V/EP9ARfmSs0v3rHUK5a1uewyNPZHuXL1LQCao/W5UPPLc9a8=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