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kept back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God’s reckoning; more,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 own</w:t>
        <w:br w:type="textWrapping"/>
        <w:t xml:space="preserve">stewardship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goods entrusted to her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care.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XIII.]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PROPHESIES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COMING, AND OF THE TIMES OF THE</w:t>
        <w:br w:type="textWrapping"/>
        <w:t xml:space="preserve">END. Matt. xxiv. Luke xxi.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36. The</w:t>
        <w:br w:type="textWrapping"/>
        <w:t xml:space="preserve">accounts are apparently distinct, and each</w:t>
        <w:br w:type="textWrapping"/>
        <w:t xml:space="preserve">contains some fragments which have </w:t>
        <w:br w:type="textWrapping"/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caped the others.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prophecy, I have fully commented in </w:t>
        <w:br w:type="textWrapping"/>
        <w:t xml:space="preserve">Matthew, where see notes: also those on Luke.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what great stones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.—Josephus</w:t>
        <w:br w:type="textWrapping"/>
        <w:t xml:space="preserve">says, “the stones of the building were 40</w:t>
        <w:br w:type="textWrapping"/>
        <w:t xml:space="preserve">cubits in size.” And again, “for 6 days</w:t>
        <w:br w:type="textWrapping"/>
        <w:t xml:space="preserve">together the strongest of all the battering</w:t>
        <w:br w:type="textWrapping"/>
        <w:t xml:space="preserve">engines played on the wall and produced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 effect: the size and jointing of the</w:t>
        <w:br w:type="textWrapping"/>
        <w:t xml:space="preserve">stones was too strong for it, and for all</w:t>
        <w:br w:type="textWrapping"/>
        <w:t xml:space="preserve">the others.”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Peter and James</w:t>
        <w:br w:type="textWrapping"/>
        <w:t xml:space="preserve">and John and Andrew are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in Matthew,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Luke.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 these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implies that they viewed</w:t>
        <w:br w:type="textWrapping"/>
        <w:t xml:space="preserve">the destruction of the temple as part of</w:t>
        <w:br w:type="textWrapping"/>
        <w:t xml:space="preserve">a great series of events, which had now by</w:t>
        <w:br w:type="textWrapping"/>
        <w:t xml:space="preserve">frequent prophecy become familiar to them.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These things about which thon so often</w:t>
        <w:br w:type="textWrapping"/>
        <w:t xml:space="preserve">speakest.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 began to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 Lord’s full explanation on</w:t>
        <w:br w:type="textWrapping"/>
        <w:t xml:space="preserve">the matter. See reff.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 there shall be... there shall be]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these repetitions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majesty is given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discourse.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beginnings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but the </w:t>
        <w:br w:type="textWrapping"/>
        <w:t xml:space="preserve">beginnings—the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beginnings.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ye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dQ5lJs1qNY3Qn9joLk5dRcSudw==">AMUW2mX+kMApbPqw5Dvj+Ax2N77TgWceY3Dqo1nFZJ9uTOccmmExvlLl5sgxU/897hqqRTKjv5dLvGAyzEjBX55qkWC9ybzB1P+2wvogBFRJKM5rinfLy2g=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