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the emphasis—let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care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Mark has vv. 10, 11 </w:t>
        <w:br w:type="textWrapping"/>
        <w:t xml:space="preserve">peculiar to himself. St. Luke (vv. 14, 15) has</w:t>
        <w:br w:type="textWrapping"/>
        <w:t xml:space="preserve">something very like them—St. Matthew</w:t>
        <w:br w:type="textWrapping"/>
        <w:t xml:space="preserve">nothing: but they occur Matt. x. 19,</w:t>
        <w:br w:type="textWrapping"/>
        <w:t xml:space="preserve">where see note.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</w:t>
        <w:br w:type="textWrapping"/>
        <w:t xml:space="preserve">expressed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shall many be offended,</w:t>
        <w:br w:type="textWrapping"/>
        <w:t xml:space="preserve">and shall betray one another, and shall</w:t>
        <w:br w:type="textWrapping"/>
        <w:t xml:space="preserve">hate one another,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Matthew, ver. 10.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hath endured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in the confession</w:t>
        <w:br w:type="textWrapping"/>
        <w:t xml:space="preserve">implied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my name’s sake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preceding.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where it ought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 note</w:t>
        <w:br w:type="textWrapping"/>
        <w:t xml:space="preserve">on Matthe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15. This is a less definite</w:t>
        <w:br w:type="textWrapping"/>
        <w:t xml:space="preserve">description of the place than we find there.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Matthew adds,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nor on the</w:t>
        <w:br w:type="textWrapping"/>
        <w:t xml:space="preserve">sabbath day.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St. Mark wrote mostly for</w:t>
        <w:br w:type="textWrapping"/>
        <w:t xml:space="preserve">Gentile readers, and thus perhaps was not</w:t>
        <w:br w:type="textWrapping"/>
        <w:t xml:space="preserve">likely to report this.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20.] {19} the creation which God crea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ted...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{20}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elect’s sake, whom be 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 chosen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peculiarities of St. Mark’s style in reporting 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Lord’s discourses, for greater solemnity.</w:t>
        <w:br w:type="textWrapping"/>
        <w:t xml:space="preserve">John xvii. 26, John v. 16, cited strangely</w:t>
        <w:br w:type="textWrapping"/>
        <w:t xml:space="preserve">by Mr. Elliott to disprove this, are no</w:t>
        <w:br w:type="textWrapping"/>
        <w:t xml:space="preserve">cases in point. In both those, the </w:t>
        <w:br w:type="textWrapping"/>
        <w:t xml:space="preserve">expression is necessary to the sense: here, and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tu+8XT9Vi6DQ0wmvslBPB/4+ow==">CgMxLjA4AHIhMWUtYmFQZjFwR2NLRHRfT0haZ19ibmktTFA2ajFJODlz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