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son, but give pathos to the contrast which</w:t>
        <w:br w:type="textWrapping"/>
        <w:t xml:space="preserve">follows.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description of the</w:t>
        <w:br w:type="textWrapping"/>
        <w:t xml:space="preserve">traitor here again does not seem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designate one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especially, nor to describe an</w:t>
        <w:br w:type="textWrapping"/>
        <w:t xml:space="preserve">action at that moment proceeding, but, as</w:t>
        <w:br w:type="textWrapping"/>
        <w:t xml:space="preserve">before, pathetically to desc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ibe the near</w:t>
        <w:br w:type="textWrapping"/>
        <w:t xml:space="preserve">relation of the betrayer to the Betrayed.</w:t>
        <w:br w:type="textWrapping"/>
        <w:t xml:space="preserve">Now however the relation pointed out is</w:t>
        <w:br w:type="textWrapping"/>
        <w:t xml:space="preserve">still closer than before—it is that of one</w:t>
        <w:br w:type="textWrapping"/>
        <w:t xml:space="preserve">dipping in the same dish—one of</w:t>
        <w:br w:type="textWrapping"/>
        <w:t xml:space="preserve">nearest and most trusted.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{22}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NSTI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RD’s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xxvi.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29. Luke xxii.</w:t>
        <w:br w:type="textWrapping"/>
        <w:t xml:space="preserve">19, 20. 1 Cor. xi,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25. See notes on</w:t>
        <w:br w:type="textWrapping"/>
        <w:t xml:space="preserve">Matthew.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DECLARATION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ALL</w:t>
        <w:br w:type="textWrapping"/>
        <w:t xml:space="preserve">SHOULD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FORSAKE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CONFIDENCE</w:t>
        <w:br w:type="textWrapping"/>
        <w:t xml:space="preserve">OF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xxvi. 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 (see Luke</w:t>
        <w:br w:type="textWrapping"/>
        <w:t xml:space="preserve">xxii,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34, and notes there). Our </w:t>
        <w:br w:type="textWrapping"/>
        <w:t xml:space="preserve">account is almost verbatim the same as that</w:t>
        <w:br w:type="textWrapping"/>
        <w:t xml:space="preserve">in Matthew, where see notes. The few</w:t>
        <w:br w:type="textWrapping"/>
        <w:t xml:space="preserve">differences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commented on.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Notice the climax: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</w:t>
        <w:br w:type="textWrapping"/>
        <w:t xml:space="preserve">only this—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this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part of it now</w:t>
        <w:br w:type="textWrapping"/>
        <w:t xml:space="preserve">present: nor only so,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cock</w:t>
        <w:br w:type="textWrapping"/>
        <w:t xml:space="preserve">crow twi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night is</w:t>
        <w:br w:type="textWrapping"/>
        <w:t xml:space="preserve">over.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spake the more vehemently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the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repeating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superabundant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–42.]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LORD’S AGONY 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Gx9gP05v/iCNF4E51HfLLjBmKQ==">CgMxLjA4AHIhMUt4N01LWEl2UkJ0ODc5Nk5RVmQtNkROOTRWRTFEakRZ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