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reff.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where]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inference</w:t>
        <w:br w:type="textWrapping"/>
        <w:t xml:space="preserve">can be drawn from this word as to the</w:t>
        <w:br w:type="textWrapping"/>
        <w:t xml:space="preserve">date of the fragment. In Acts ix.82 Peter</w:t>
        <w:br w:type="textWrapping"/>
        <w:t xml:space="preserve">is said to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passed throughout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  <w:br w:type="textWrapping"/>
        <w:t xml:space="preserve">(quarters)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being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indicating their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performance, in their time and d », of our</w:t>
        <w:br w:type="textWrapping"/>
        <w:t xml:space="preserve">Lord’s words, into all the world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Jesus: see Matt. xxviii. 20:</w:t>
        <w:br w:type="textWrapping"/>
        <w:t xml:space="preserve">Heb.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4, which last passage some have</w:t>
        <w:br w:type="textWrapping"/>
        <w:t xml:space="preserve">absurdly supposed, to have been seen and</w:t>
        <w:br w:type="textWrapping"/>
        <w:t xml:space="preserve">used by our Evangelist. The two words</w:t>
        <w:br w:type="textWrapping"/>
        <w:t xml:space="preserve">rendered following (here and in ver. 17) are</w:t>
        <w:br w:type="textWrapping"/>
        <w:t xml:space="preserve">compound verbs,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foreign to the</w:t>
        <w:br w:type="textWrapping"/>
        <w:t xml:space="preserve">diction of St.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often as he uses the</w:t>
        <w:br w:type="textWrapping"/>
        <w:t xml:space="preserve">simple verb.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few concluding remarks may be added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respecting vv. 9–20.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For the 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ternal evidence, see as above. As to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genuineness as a work of the Evangelist</w:t>
        <w:br w:type="textWrapping"/>
        <w:t xml:space="preserve">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(2) internal evidence is, I think,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very weighty against St. Mark’s being the</w:t>
        <w:br w:type="textWrapping"/>
        <w:t xml:space="preserve">author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No less than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twenty-one words and</w:t>
        <w:br w:type="textWrapping"/>
        <w:t xml:space="preserve">expressions occur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 some of them</w:t>
        <w:br w:type="textWrapping"/>
        <w:t xml:space="preserve">several times), which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never elsewhere</w:t>
        <w:br w:type="textWrapping"/>
        <w:t xml:space="preserve">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St. Mark,—whose adherence, to</w:t>
        <w:br w:type="textWrapping"/>
        <w:t xml:space="preserve">his own peculiar phrases is remarkable.</w:t>
        <w:br w:type="textWrapping"/>
        <w:t xml:space="preserve">(3) The inference therefore seems to me to</w:t>
        <w:br w:type="textWrapping"/>
        <w:t xml:space="preserve">be, that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 is an authentic fragment,</w:t>
        <w:br w:type="textWrapping"/>
        <w:t xml:space="preserve">placed as a completion of the Gospel in</w:t>
        <w:br w:type="textWrapping"/>
        <w:t xml:space="preserve">very early times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by whom written, must</w:t>
        <w:br w:type="textWrapping"/>
        <w:t xml:space="preserve">course remain wholly uncertain; but</w:t>
        <w:br w:type="textWrapping"/>
        <w:t xml:space="preserve">coming to us with very weighty sanction,</w:t>
        <w:br w:type="textWrapping"/>
        <w:t xml:space="preserve">and having strong claims on our reception</w:t>
        <w:br w:type="textWrapping"/>
        <w:t xml:space="preserve">and reverence.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M0ACKXkIKZXPGMzCgfpmI3FdcA==">CgMxLjA4AHIhMUFfZjVEQWM1aDNrMkkzMTE5UHItSW1RZUFiZXF1Z0pa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