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prayer was for the salvation of Israel by</w:t>
        <w:br w:type="textWrapping"/>
        <w:t xml:space="preserve">the appearance of the Messiah: but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view appears more probable.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favorable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</w:t>
        <w:br w:type="textWrapping"/>
        <w:t xml:space="preserve">it under the form of Johanan, 2 Ki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xxv.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1 Chron. iii. 24; 2 Chron. xxviii.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of the original</w:t>
        <w:br w:type="textWrapping"/>
        <w:t xml:space="preserve">here may be rendered two ways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either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shall be to thee,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shalt</w:t>
        <w:br w:type="textWrapping"/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 V.: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shall be to thee,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. . joy and gladness.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 in the sight of the Lord]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signifying the spiritual</w:t>
        <w:br w:type="textWrapping"/>
        <w:t xml:space="preserve">nature of his office and influence.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  <w:t xml:space="preserve">priests were similarly prohibited to drink</w:t>
        <w:br w:type="textWrapping"/>
        <w:t xml:space="preserve">strong drink; and the Nazarites even</w:t>
        <w:br w:type="textWrapping"/>
        <w:t xml:space="preserve">more rigidly.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strong drink]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word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sikera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any liquor not made</w:t>
        <w:br w:type="textWrapping"/>
        <w:t xml:space="preserve">from grapes.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Wiclif renders,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  <w:br w:type="textWrapping"/>
        <w:t xml:space="preserve">schal not drynke wyne ne sidir.’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shall be filled with the Holy Ghost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contrast to,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a reason for, the not</w:t>
        <w:br w:type="textWrapping"/>
        <w:t xml:space="preserve">drinking wine nor strong drink: compare</w:t>
        <w:br w:type="textWrapping"/>
        <w:t xml:space="preserve">Eph. v. 18.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Olshausen and Meyer</w:t>
        <w:br w:type="textWrapping"/>
        <w:t xml:space="preserve">think that (comparing ver. 44) the meaning is, the Holy Spirit should in some</w:t>
        <w:br w:type="textWrapping"/>
        <w:t xml:space="preserve">wonderful manner act on the child even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his birth. But this is not necessary,—nay, would it not rather be in this case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his mother’s womb....?”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seems to fix the prior limit of the in-</w:t>
        <w:br w:type="textWrapping"/>
        <w:t xml:space="preserve">dwelling of the Spirit,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his birth.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work of John was</w:t>
        <w:br w:type="textWrapping"/>
        <w:t xml:space="preserve">one of preparation and turning men’s</w:t>
        <w:br w:type="textWrapping"/>
        <w:t xml:space="preserve">hearts towards God. For full notes on</w:t>
        <w:br w:type="textWrapping"/>
        <w:t xml:space="preserve">his office, see on Matt. xi. It may</w:t>
        <w:br w:type="textWrapping"/>
        <w:t xml:space="preserve">suffice here to repeat, that it was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concentration                         of the spirit of the law,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whose</w:t>
        <w:br w:type="textWrapping"/>
        <w:t xml:space="preserve">office it was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convince of sin: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  <w:br w:type="textWrapping"/>
        <w:t xml:space="preserve">that he eminently represented the law and</w:t>
        <w:br w:type="textWrapping"/>
        <w:t xml:space="preserve">the prophets in their work of preparing the</w:t>
        <w:br w:type="textWrapping"/>
        <w:t xml:space="preserve">way for Christ.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 before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 their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manifest in the</w:t>
        <w:br w:type="textWrapping"/>
        <w:t xml:space="preserve">flesh. De Wette denies this interpretation,                                 as contrary to all analogy: and yet</w:t>
        <w:br w:type="textWrapping"/>
        <w:t xml:space="preserve">himself explains the expression by saying</w:t>
        <w:br w:type="textWrapping"/>
        <w:t xml:space="preserve">that what the Messiah does,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Scripture                          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ascribed to God as it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doer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(similarly</w:t>
        <w:br w:type="textWrapping"/>
        <w:t xml:space="preserve">Meyer).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Messiah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 WITH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expression is besides</w:t>
        <w:br w:type="textWrapping"/>
        <w:t xml:space="preserve">used (see Zech. xiv. 5) in places where the</w:t>
        <w:br w:type="textWrapping"/>
        <w:t xml:space="preserve">undoubted and sole reference is to the</w:t>
        <w:br w:type="textWrapping"/>
        <w:t xml:space="preserve">Messiah.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spirit and power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a type of partial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personal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coming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Elias in the latter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note on Matt. xi.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14). Bleek</w:t>
        <w:br w:type="textWrapping"/>
        <w:t xml:space="preserve">remarks that it was not in the wonder</w:t>
        <w:br w:type="textWrapping"/>
        <w:t xml:space="preserve">working agency of Elias that John was</w:t>
        <w:br w:type="textWrapping"/>
        <w:t xml:space="preserve">like him, for ‘John did no miracle,”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in the power of his uttered persuasion.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turn....]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member only</w:t>
        <w:br w:type="textWrapping"/>
        <w:t xml:space="preserve">of the sentence corresponds with Malachi.</w:t>
        <w:br w:type="textWrapping"/>
        <w:t xml:space="preserve">The angel gives the exposition of the</w:t>
        <w:br w:type="textWrapping"/>
        <w:t xml:space="preserve">second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,—which stands in the</w:t>
        <w:br w:type="textWrapping"/>
        <w:t xml:space="preserve">LXX,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heart of a man towards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neighbor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(in A.V.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heart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the children to their 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  <w:br w:type="textWrapping"/>
        <w:t xml:space="preserve">of course that must be understood in the</w:t>
        <w:br w:type="textWrapping"/>
        <w:t xml:space="preserve">better sense, of the prevailing, and</w:t>
        <w:br w:type="textWrapping"/>
        <w:t xml:space="preserve">the bad becoming like them. </w:t>
        <w:br w:type="textWrapping"/>
        <w:br w:type="textWrapping"/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birth of John, involving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 generation,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     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prophetically announced,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supernatural,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answers to the birth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Isaac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O.T. But Abraham’s faith</w:t>
        <w:br w:type="textWrapping"/>
        <w:t xml:space="preserve">was a strong contrast to the unbelief of</w:t>
        <w:br w:type="textWrapping"/>
        <w:t xml:space="preserve">Zacharias: see Rom. iv. 19.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old</w:t>
        <w:br w:type="textWrapping"/>
        <w:t xml:space="preserve">man]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Levites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Num. iv. 3; viii.</w:t>
        <w:br w:type="textWrapping"/>
        <w:t xml:space="preserve">24, 25) became superannuated at the age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fifty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it appears, by extracts from</w:t>
        <w:br w:type="textWrapping"/>
        <w:t xml:space="preserve">the Rabbinical writings given by Lightfoot,                                that this was not the case with the</w:t>
        <w:br w:type="textWrapping"/>
        <w:t xml:space="preserve">priests.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Gabriel]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</w:t>
        <w:br w:type="textWrapping"/>
        <w:t xml:space="preserve">God: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Dan. viii. 16; ix. 21, also Tobit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2/CIw3+3JfC0dgrzaieGlTrGwg==">CgMxLjA4AHIhMXJkdm9hN1ZWaTU3X1ZWNlN5dGs2X3NiWE1kRE12VW9w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