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humility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noun is 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objec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Ver. 55 is not rendered in</w:t>
        <w:br w:type="textWrapping"/>
        <w:t xml:space="preserve">the A.V. according to the construction;</w:t>
        <w:br w:type="textWrapping"/>
        <w:t xml:space="preserve">from Ps. xcvii. 3 it will be seen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remembrance of his mercy to Abraham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to be joined together, and therefore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he spake to our fathers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will be parenthetical.                           See Micah vii. 20.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57–79.]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Birth and naming of John the Baptist.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were calling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—wished to call: the imperfect tense is here</w:t>
        <w:br w:type="textWrapping"/>
        <w:t xml:space="preserve">in its strict meaning, as in Matt. viii. 24.</w:t>
        <w:br w:type="textWrapping"/>
        <w:t xml:space="preserve">The names of children were given at circumcision,                      because, at the institution of</w:t>
        <w:br w:type="textWrapping"/>
        <w:t xml:space="preserve">that rite, the names of Abram and Sarai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changed to Abraham and Sarah,—</w:t>
        <w:br w:type="textWrapping"/>
        <w:t xml:space="preserve">Gen. xvii. 5, 15.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supposing, with some                        Commentators,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Elisabeth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supernaturally intimated to her. She must</w:t>
        <w:br w:type="textWrapping"/>
        <w:t xml:space="preserve">necessarily have learnt it,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course of</w:t>
        <w:br w:type="textWrapping"/>
        <w:t xml:space="preserve">communication by writing, from her husband.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natural inference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on ver. 22) from this verse is, that</w:t>
        <w:br w:type="textWrapping"/>
        <w:t xml:space="preserve">Zacharias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deaf as tell as dumb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</w:t>
        <w:br w:type="textWrapping"/>
        <w:t xml:space="preserve">do I think that the objectors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succeeded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                   in invalidating this inference. There</w:t>
        <w:br w:type="textWrapping"/>
        <w:t xml:space="preserve">could have been no reason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beckoning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had Zacharias been able to hear articulate</w:t>
        <w:br w:type="textWrapping"/>
        <w:t xml:space="preserve">words.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writing table]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8vj2tenqt/OWzH/ZXBDzBUcDag==">CgMxLjA4AHIhMTlJUVllRW5wQ0NYZ05MX2VkTFRsVjVtSy1jaE5nT3l6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