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alleges John vii. 7), “Me the world</w:t>
        <w:br w:type="textWrapping"/>
        <w:t xml:space="preserve">hateth, because I testify of it that its</w:t>
        <w:br w:type="textWrapping"/>
        <w:t xml:space="preserve">deeds are evil;” and we can hardly conceive such testimony, in the years of gathering vigor and zeal, long withheld.</w:t>
        <w:br w:type="textWrapping"/>
        <w:t xml:space="preserve">The incident of ch, iv. 28, 29 can scarcely</w:t>
        <w:br w:type="textWrapping"/>
        <w:t xml:space="preserve">have arisen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the anger of the</w:t>
        <w:br w:type="textWrapping"/>
        <w:t xml:space="preserve">moment.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III. 1—22.]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PREACHING AND BAPTISM OF JOHN. DIVINE TESTIMONY</w:t>
        <w:br w:type="textWrapping"/>
        <w:t xml:space="preserve">TO JESUS AT HIS BAPTISM. Matt. iii. 1—17. Mark i. 4—11.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  <w:br w:type="textWrapping"/>
        <w:t xml:space="preserve">dates are consistent with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accurate</w:t>
        <w:br w:type="textWrapping"/>
        <w:t xml:space="preserve">tracing down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St. Luke predicates</w:t>
        <w:br w:type="textWrapping"/>
        <w:t xml:space="preserve">of himself, ch. i. 3. In Matt. iii. 1 we have</w:t>
        <w:br w:type="textWrapping"/>
        <w:t xml:space="preserve">the same events indicated as to time by</w:t>
        <w:br w:type="textWrapping"/>
        <w:t xml:space="preserve">only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those days.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fifteenth</w:t>
        <w:br w:type="textWrapping"/>
        <w:t xml:space="preserve">year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sole principate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Tiberius</w:t>
        <w:br w:type="textWrapping"/>
        <w:t xml:space="preserve">began Aug. 19, in the year of Rome 781,</w:t>
        <w:br w:type="textWrapping"/>
        <w:t xml:space="preserve">and reckoning backwards thirty years from</w:t>
        <w:br w:type="textWrapping"/>
        <w:t xml:space="preserve">that time (see ver. 23), we should have</w:t>
        <w:br w:type="textWrapping"/>
        <w:t xml:space="preserve">the birth of our Lord in 751, or about</w:t>
        <w:br w:type="textWrapping"/>
        <w:t xml:space="preserve">then; for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thirty” will admit of</w:t>
        <w:br w:type="textWrapping"/>
        <w:t xml:space="preserve">some latitude. But Herod the Great died</w:t>
        <w:br w:type="textWrapping"/>
        <w:t xml:space="preserve">in the beginning of the year 750, and our</w:t>
        <w:br w:type="textWrapping"/>
        <w:t xml:space="preserve">Lord’s birth must be fixed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months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  <w:br w:type="textWrapping"/>
        <w:t xml:space="preserve">least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death of Herod. If then</w:t>
        <w:br w:type="textWrapping"/>
        <w:t xml:space="preserve">it be placed in 749, He would have been</w:t>
        <w:br w:type="textWrapping"/>
        <w:t xml:space="preserve">at least thirty-two at the time of His</w:t>
        <w:br w:type="textWrapping"/>
        <w:t xml:space="preserve">baptism, seeing that it took some</w:t>
        <w:br w:type="textWrapping"/>
        <w:t xml:space="preserve">time after the beginning of John’s ministry. This difficulty has led to the supposition that this fifteenth year is not to be</w:t>
        <w:br w:type="textWrapping"/>
        <w:t xml:space="preserve">dated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associated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principate of Tiberius, which commenced</w:t>
        <w:br w:type="textWrapping"/>
        <w:t xml:space="preserve">most probably at the end of 764. According to this, the fifteenth of Tiberius will</w:t>
        <w:br w:type="textWrapping"/>
        <w:t xml:space="preserve">begin at the end of 779—and our Lord’s</w:t>
        <w:br w:type="textWrapping"/>
        <w:t xml:space="preserve">birth would be 749 or 750: which will</w:t>
        <w:br w:type="textWrapping"/>
        <w:t xml:space="preserve">agree with the death of Herod. This</w:t>
        <w:br w:type="textWrapping"/>
        <w:t xml:space="preserve">latter explanation has usually been adopted.</w:t>
        <w:br w:type="textWrapping"/>
        <w:t xml:space="preserve">Our present æra was fixed by Dionysius</w:t>
        <w:br w:type="textWrapping"/>
        <w:t xml:space="preserve">Exiguus, in the sixth century, and places</w:t>
        <w:br w:type="textWrapping"/>
        <w:t xml:space="preserve">the birth of our Lord in 754. It may be</w:t>
        <w:br w:type="textWrapping"/>
        <w:t xml:space="preserve">doubted, however, whether in all these</w:t>
        <w:br w:type="textWrapping"/>
        <w:t xml:space="preserve">reckonings more accuracy has not been</w:t>
        <w:br w:type="textWrapping"/>
        <w:t xml:space="preserve">sought than the Gospel narrative warrants</w:t>
        <w:br w:type="textWrapping"/>
        <w:t xml:space="preserve">any expectation of our finding.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thirty” is a wide expression, and might</w:t>
        <w:br w:type="textWrapping"/>
        <w:t xml:space="preserve">cover any age from thirty (see note on</w:t>
        <w:br w:type="textWrapping"/>
        <w:t xml:space="preserve">ver. 23) to thirty-two or thirty-three.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on Matt. ii. 2, where it appears probable from astronomical considerations,</w:t>
        <w:br w:type="textWrapping"/>
        <w:t xml:space="preserve">that our Lord was born as early as U.C.</w:t>
        <w:br w:type="textWrapping"/>
        <w:t xml:space="preserve">747.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Pontius Pilate... 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Pilate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Procurator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Judea: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governor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used promiscuously of the</w:t>
        <w:br w:type="textWrapping"/>
        <w:t xml:space="preserve">leading officers of the Roman government.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PONTIUS PILATE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sixth procurator</w:t>
        <w:br w:type="textWrapping"/>
        <w:t xml:space="preserve">from the deposition of Archelaus, and came</w:t>
        <w:br w:type="textWrapping"/>
        <w:t xml:space="preserve">to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about the year of Rome 779.</w:t>
        <w:br w:type="textWrapping"/>
        <w:t xml:space="preserve">He held the province ten years, and was</w:t>
        <w:br w:type="textWrapping"/>
        <w:t xml:space="preserve">sent to Rome to answer for his conduct</w:t>
        <w:br w:type="textWrapping"/>
        <w:t xml:space="preserve">by Vitellius, prefect of Syria, in 789, the</w:t>
        <w:br w:type="textWrapping"/>
        <w:t xml:space="preserve">year of the death of Tiberius.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chronological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table in the Introduction to the</w:t>
        <w:br w:type="textWrapping"/>
        <w:t xml:space="preserve">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Matt.</w:t>
        <w:br w:type="textWrapping"/>
        <w:t xml:space="preserve">xiv. 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HEROD ANTIPAS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became tetrarch</w:t>
        <w:br w:type="textWrapping"/>
        <w:t xml:space="preserve">of Galilee after the death of his father</w:t>
        <w:br w:type="textWrapping"/>
        <w:t xml:space="preserve">Herod, in the year of Rome 750, and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inued till he was dep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792.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Philip]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of Herod the Great by Cleopatra, a woman of Jerusalem.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up at Rome, and after his</w:t>
        <w:br w:type="textWrapping"/>
        <w:t xml:space="preserve">father’s death in 750, was made tetrarch of</w:t>
        <w:br w:type="textWrapping"/>
        <w:t xml:space="preserve">Batanza, Gaulonitis, Trachonitis, Panias,</w:t>
        <w:br w:type="textWrapping"/>
        <w:t xml:space="preserve">Auranitis (Batan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and Auranitis make</w:t>
        <w:br w:type="textWrapping"/>
        <w:t xml:space="preserve">up Ituræa), and continued till his death in</w:t>
        <w:br w:type="textWrapping"/>
        <w:t xml:space="preserve">786 or 787. He built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Philippi.</w:t>
        <w:br w:type="textWrapping"/>
        <w:t xml:space="preserve">He was by far the best of Herod’s sons, and</w:t>
        <w:br w:type="textWrapping"/>
        <w:t xml:space="preserve">ruled his portion mildly and well. He must</w:t>
        <w:br w:type="textWrapping"/>
        <w:t xml:space="preserve">not be confounded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half-brother</w:t>
        <w:br w:type="textWrapping"/>
        <w:t xml:space="preserve">Philip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whose wife Herodias Herod Antipas</w:t>
        <w:br w:type="textWrapping"/>
        <w:t xml:space="preserve">seduced. This latter was disinherited by his</w:t>
        <w:br w:type="textWrapping"/>
        <w:t xml:space="preserve">father, and lived in privacy. See note on</w:t>
        <w:br w:type="textWrapping"/>
        <w:t xml:space="preserve">Matt. xiv. 1.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Lysanias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tetrar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Abilene]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BILENE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district round</w:t>
        <w:br w:type="textWrapping"/>
        <w:t xml:space="preserve">Abila, a town eighteen miles north of</w:t>
        <w:br w:type="textWrapping"/>
        <w:t xml:space="preserve">Damascus, now, according to Pococke, Nebi</w:t>
        <w:br w:type="textWrapping"/>
        <w:t xml:space="preserve">Abel. It must not be confounded with</w:t>
        <w:br w:type="textWrapping"/>
        <w:t xml:space="preserve">Abila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Decapolis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Josephus mentions it</w:t>
        <w:br w:type="textWrapping"/>
        <w:t xml:space="preserve">as among the districts which Claudius gave</w:t>
        <w:br w:type="textWrapping"/>
        <w:t xml:space="preserve">to king Agrippa I. under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Abila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 Lysani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another place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ingdom called that of Lysanias.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farther in note in my Greek Testament.</w:t>
        <w:br w:type="textWrapping"/>
        <w:t xml:space="preserve">It seems to have been a district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patrimonially in possession of rulers bearing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name.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Josephus)</w:t>
        <w:br w:type="textWrapping"/>
        <w:t xml:space="preserve">the high priest, was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Valerius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Gratus (in the year of Rome 779), and</w:t>
        <w:br w:type="textWrapping"/>
        <w:t xml:space="preserve">after several chan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Joseph or Caiaphas,</w:t>
        <w:br w:type="textWrapping"/>
        <w:t xml:space="preserve">his son-in-law (John xviii. 13), was made</w:t>
        <w:br w:type="textWrapping"/>
        <w:t xml:space="preserve">high priest. It would appear from this</w:t>
        <w:br w:type="textWrapping"/>
        <w:t xml:space="preserve">verse (and the use of the singular—see</w:t>
        <w:br w:type="textWrapping"/>
        <w:t xml:space="preserve">margin—renders the inference more stringent. Compare also St. Luke's own phrase,</w:t>
        <w:br w:type="textWrapping"/>
        <w:t xml:space="preserve">Acts iv. 6) that Annas,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ex-high priest,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possibly retaining in the view of the</w:t>
        <w:br w:type="textWrapping"/>
        <w:t xml:space="preserve">Jews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legitimate high priesthood,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8QG2CTBjd0wRJZfGoyKsyOs/4w==">CgMxLjA4AHIhMS10VVEwOGkzSzhicW5lYk85Ry10UmVIR1E4TEd2QVNa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