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counted still as having the office: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certainly (John xviii. 13)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exercised the power,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—and had influence enough to procure the actual high priesthood for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five of his sons,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after his own deposition, Jos. Antt. xx. 9. 1.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 substitute, or deputy to the high priest (called by the Talmudists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Sagan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), appears to have been usual,—see 2 Kings xxv. 18; and Annas would thus be able to evade the Roman appointment, and keep the authority.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word of God came...]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See John i. 33.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3–6.]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{3} Matt. iii. 1. Mark i. 4, where see note 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baptism of repentance.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5, 6.]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{5} are peculiar to Luke. They are nearly verbatim from the LXX in the Alexandrine copy.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7—9.]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Matthew, vv.7—10. John’s speech is verbatim as Matthew, except that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fruits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singular, and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think not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in Matthew is not in Luke. This indicates a</w:t>
        <w:br w:type="textWrapping"/>
        <w:t xml:space="preserve">common origin of this portion, which however is still thus slightly deflected; 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let it be borne in mind that the slighter</w:t>
        <w:br w:type="textWrapping"/>
        <w:t xml:space="preserve">the deflection, the more striking the independence of the Evangelists.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 begi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 to say]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cuts off even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attempt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excuse themselves.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10—14.]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Pec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liar to Luke.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Olshausen refers to the answer to a similar question under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N. T. dispensation, Acts ii. 87. See also Acts xvi. 30; xxii. 10. Deeds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justice and charity are the very first fruits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bcT/OMd4mSPMLV6frA+4uofjqQ==">CgMxLjA4AHIhMVJxRDlMcXY0MGxDY0pMVDlicVFOVHpYYkNUTHJHNTFV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