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repentance; see Micah vi. 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on Matt. v. 46.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soldiers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—properly,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men on march: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need not be pressed, only that they</w:t>
        <w:br w:type="textWrapping"/>
        <w:t xml:space="preserve">were soldiers serving in an army. Who</w:t>
        <w:br w:type="textWrapping"/>
        <w:t xml:space="preserve">these were, we have no means of determining. Certainly not soldiers of the army</w:t>
        <w:br w:type="textWrapping"/>
        <w:t xml:space="preserve">which Herod Antipas sent against Aretas,</w:t>
        <w:br w:type="textWrapping"/>
        <w:t xml:space="preserve">his father-in-law:—see notes on Matt. xiv.</w:t>
        <w:br w:type="textWrapping"/>
        <w:t xml:space="preserve">1 ff.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accuse any falsely]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way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soldiers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likely to</w:t>
        <w:br w:type="textWrapping"/>
        <w:t xml:space="preserve">act the part of informers, would be by</w:t>
        <w:br w:type="textWrapping"/>
        <w:t xml:space="preserve">laying vexatious charges of disaffection</w:t>
        <w:br w:type="textWrapping"/>
        <w:t xml:space="preserve">against persons.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15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eculiar to Luke, but is equivalent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i. 19—25.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that John would declare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16, 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iii, 11,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i. 7,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26, 27.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four accounts are cognate, but vary in expression and arrangement: ver. 17 is nearly verbatim as Matthew.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latchet]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lace, or thong</w:t>
        <w:br w:type="textWrapping"/>
        <w:t xml:space="preserve">with which the sandal was fastened.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18—20.] {18}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only: containing the corroboration of the account in Mark vi.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John’s boldness in rebuking Herod, with</w:t>
        <w:br w:type="textWrapping"/>
        <w:t xml:space="preserve">this slight variation, that whereas in Mark</w:t>
        <w:br w:type="textWrapping"/>
        <w:t xml:space="preserve">Herod heard him gladly, and did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things in consequence, here the rebuke for</w:t>
        <w:br w:type="textWrapping"/>
        <w:t xml:space="preserve">general profligacy seems to have contributed to his imprisonment. These accounts however, though perfectly distinct,</w:t>
        <w:br w:type="textWrapping"/>
        <w:t xml:space="preserve">are by no means inconsistent.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 same</w:t>
        <w:br w:type="textWrapping"/>
        <w:t xml:space="preserve">rebukes which stung Herod’s conscience</w:t>
        <w:br w:type="textWrapping"/>
        <w:t xml:space="preserve">and aided the desire to imprison John,</w:t>
        <w:br w:type="textWrapping"/>
        <w:t xml:space="preserve">might work on that conscience, and cause</w:t>
        <w:br w:type="textWrapping"/>
        <w:t xml:space="preserve">the wish to hear more from the man of</w:t>
        <w:br w:type="textWrapping"/>
        <w:t xml:space="preserve">God. Vv. 19, 20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</w:t>
        <w:br w:type="textWrapping"/>
        <w:t xml:space="preserve">follows; which is in St. Luke’s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er;</w:t>
        <w:br w:type="textWrapping"/>
        <w:t xml:space="preserve">see ch. i. 80.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{21}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iii, 13—17. Mark i. 9—11. St. Luke’s account is</w:t>
        <w:br w:type="textWrapping"/>
        <w:t xml:space="preserve">much more concise than usual, and wholly</w:t>
        <w:br w:type="textWrapping"/>
        <w:t xml:space="preserve">independent of the others; see note on</w:t>
        <w:br w:type="textWrapping"/>
        <w:t xml:space="preserve">Mark i. 10: we have here however three</w:t>
        <w:br w:type="textWrapping"/>
        <w:t xml:space="preserve">additional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ulars— 1.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people had been baptised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Lord’s</w:t>
        <w:br w:type="textWrapping"/>
        <w:t xml:space="preserve">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m: 2. that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</w:t>
        <w:br w:type="textWrapping"/>
        <w:t xml:space="preserve">time of the descent of the Spirit: 8. that</w:t>
        <w:br w:type="textWrapping"/>
        <w:t xml:space="preserve">the Spirit appeared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bodily form.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see note at Matt.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16, § 2.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mX+tZujQEfCd8JpMfbZHk0Ruw==">CgMxLjA4AHIhMTZkZ3ZmTWJUZy1uZ0l0b2JXdkJiOFJlMUdoazFQZ2dJ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