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 xml:space="preserve">alternative: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 own I think the former</w:t>
        <w:br w:type="textWrapping"/>
        <w:t xml:space="preserve">more probable. See on the whole question of the appearance of this second</w:t>
        <w:br w:type="textWrapping"/>
        <w:t xml:space="preserve">Cainam(n) among the ancestors of our</w:t>
        <w:br w:type="textWrapping"/>
        <w:t xml:space="preserve">Lord, Lord A. Hervey’s work above cited,</w:t>
        <w:br w:type="textWrapping"/>
        <w:t xml:space="preserve">ch. viii., in which, with much research and</w:t>
        <w:br w:type="textWrapping"/>
        <w:t xml:space="preserve">acuteness, he has endeavoured to shew that</w:t>
        <w:br w:type="textWrapping"/>
        <w:t xml:space="preserve">the name was probably interpolated here,</w:t>
        <w:br w:type="textWrapping"/>
        <w:t xml:space="preserve">and got from hence into the LXX. Certainly it appears not to have existed in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earliest copies of that version.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IV. 1—1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TEMPTATION OF</w:t>
        <w:br w:type="textWrapping"/>
        <w:t xml:space="preserve">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Matt. iv. 1—11. Mark i. 12, 13.</w:t>
        <w:br w:type="textWrapping"/>
        <w:t xml:space="preserve">Ver. 1 is peculiar to Luke, and very 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portant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Our Lord was now full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oly Ghost, and in that fulness He is led</w:t>
        <w:br w:type="textWrapping"/>
        <w:t xml:space="preserve">up to combat with the enemy. He has</w:t>
        <w:br w:type="textWrapping"/>
        <w:t xml:space="preserve">arrived at the fulness of the stature of perfect man, outwardly and spiritually.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when His Church was inaugurated by</w:t>
        <w:br w:type="textWrapping"/>
        <w:t xml:space="preserve">the descent of the Spirit in His falness, so</w:t>
        <w:br w:type="textWrapping"/>
        <w:t xml:space="preserve">now, the first and fittest weapon for the</w:t>
        <w:br w:type="textWrapping"/>
        <w:t xml:space="preserve">combat is “the sword of the Spirit, which is</w:t>
        <w:br w:type="textWrapping"/>
        <w:t xml:space="preserve">the word of God.” The discourse of Peter</w:t>
        <w:br w:type="textWrapping"/>
        <w:t xml:space="preserve">in Acts ii., like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Lord’s here, is</w:t>
        <w:br w:type="textWrapping"/>
        <w:t xml:space="preserve">grounded in the testimony of the Scripture.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accounts of St. Matthew and St.</w:t>
        <w:br w:type="textWrapping"/>
        <w:t xml:space="preserve">Luke (St. Mark’s is principally a compendium) are distinct; see notes on Matthew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Mark.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literal rendering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present text will be: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Jesus ..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led 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power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Spirit</w:t>
        <w:br w:type="textWrapping"/>
        <w:t xml:space="preserve">in the wilderness, being tempted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 e. because he was tempted)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during forty days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devil.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that St. Luke, as also</w:t>
        <w:br w:type="textWrapping"/>
        <w:t xml:space="preserve">St. Mark, implies that the temptation</w:t>
        <w:br w:type="textWrapping"/>
        <w:t xml:space="preserve">continued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whole forty days.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 did eat nothing testifies to the strictness in which the term ‘fasted’ must be taken.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stone,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pointing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ome partic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ular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stone—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command that it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become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 loaf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literally)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citation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given in full by St. Matthew.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There can be little doubt</w:t>
        <w:br w:type="textWrapping"/>
        <w:t xml:space="preserve">that the order in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Matthew,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which this</w:t>
        <w:br w:type="textWrapping"/>
        <w:t xml:space="preserve">temptation is placed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to be adhered</w:t>
        <w:br w:type="textWrapping"/>
        <w:t xml:space="preserve">to in our expositions of the Temptation.</w:t>
        <w:br w:type="textWrapping"/>
        <w:t xml:space="preserve">No definite notes of succession are given in</w:t>
        <w:br w:type="textWrapping"/>
        <w:t xml:space="preserve">our text, but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Matthew: see</w:t>
        <w:br w:type="textWrapping"/>
        <w:t xml:space="preserve">notes there. Some suppose that the inversion has been made as suiting better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requirements of probability: it seeming;</w:t>
        <w:br w:type="textWrapping"/>
        <w:t xml:space="preserve">more natural that our Lord should be first</w:t>
        <w:br w:type="textWrapping"/>
        <w:t xml:space="preserve">taken to the mountain and then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Jerusalem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than the converse.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Satan</w:t>
        <w:br w:type="textWrapping"/>
        <w:t xml:space="preserve">is set forth to us in Scripture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the prince,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 of this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,—by our Lord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f, John xii.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1; xiv. 30; xvi. 11:—by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St. Paul, 2 Cor. iv. 4 (Eph. vi. 12). On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signification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of this temptation, see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+m6Dm0nYTeLaE7iwV/KZ25JcIw==">AMUW2mVcKL/ydyg/ucVdjVpHx/i6ItMjV+KhShXs5qL1llof70i8zwfYrXvNemAA1mmCJhyNxa7wpE9KHjDrjqknKebakOm8VcZiPYtzDrwRS7g2pl0gF3U=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