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2;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forgiven.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strange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things beyond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expectation.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 the close of the</w:t>
        <w:br w:type="textWrapping"/>
        <w:t xml:space="preserve">accounts in Matthew and Mark.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27—39.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CALLING OF LEVI. QUESTION</w:t>
        <w:br w:type="textWrapping"/>
        <w:t xml:space="preserve">RESPECTING FASTING. Matt. ix. 9—17.</w:t>
        <w:br w:type="textWrapping"/>
        <w:t xml:space="preserve">Mark ii. 13—22. For all common matter,</w:t>
        <w:br w:type="textWrapping"/>
        <w:t xml:space="preserve">—the discussion of the identity of Matthew and Levi, &amp;c.—see notes on Matthew and Mark. I here only notice what is</w:t>
        <w:br w:type="textWrapping"/>
        <w:t xml:space="preserve">peculiar to Luke.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merely ‘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saw,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looked on,—He ob-</w:t>
        <w:br w:type="textWrapping"/>
        <w:t xml:space="preserve">served.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left all: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merely,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‘left his books and implements,’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the</w:t>
        <w:br w:type="textWrapping"/>
        <w:t xml:space="preserve">expression is generally used, and imports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so much a present objective relinquishment, as the mind with which he rose to</w:t>
        <w:br w:type="textWrapping"/>
        <w:t xml:space="preserve">follow.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fact is only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mentioned here—but may be directly inferred 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remotely</w:t>
        <w:br w:type="textWrapping"/>
        <w:t xml:space="preserve">from Matthew. See on Matthew, ver. 10.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difference in the persons</w:t>
        <w:br w:type="textWrapping"/>
        <w:t xml:space="preserve">who ask this question, see on Matthew and</w:t>
        <w:br w:type="textWrapping"/>
        <w:t xml:space="preserve">Mark.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make prayers: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ch.xi. 1. These prayers must be understood</w:t>
        <w:br w:type="textWrapping"/>
        <w:t xml:space="preserve">in connexion with an ascetic form of life,</w:t>
        <w:br w:type="textWrapping"/>
        <w:t xml:space="preserve">not as only the usual prayers of devout</w:t>
        <w:br w:type="textWrapping"/>
        <w:t xml:space="preserve">men.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have remarked on the</w:t>
        <w:br w:type="textWrapping"/>
        <w:t xml:space="preserve">striking contrast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 to fast</w:t>
        <w:br w:type="textWrapping"/>
        <w:t xml:space="preserve">and they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will)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fast, on Matthew,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yPQlty5++5zw6/ucORI8y0imgQ==">AMUW2mXG/GiHm0MbsCDK+rsfZYEwbOvKNtq00PM5cntUJAenHmttbuDxrSxrKu05nfvCwV/g9rX/mgL1XOSn7yTyCQ4sh8vQ4fdB2uv3USC4iZ3vZVa5hyE=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