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 ledge or shelf on the side of the mountain;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more naturally below the mountain: see on Matt. v.1.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ether St. Luke</w:t>
        <w:br w:type="textWrapping"/>
        <w:t xml:space="preserve">could thus have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Gospel of</w:t>
        <w:br w:type="textWrapping"/>
        <w:t xml:space="preserve">St. Matthew before him,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leave the reader</w:t>
        <w:br w:type="textWrapping"/>
        <w:t xml:space="preserve">to judge: premising, that is, the identity</w:t>
        <w:br w:type="textWrapping"/>
        <w:t xml:space="preserve">of the two discourses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uses the same expression, of power going</w:t>
        <w:br w:type="textWrapping"/>
        <w:t xml:space="preserve">forth from our Lord, in ch. viii. 46.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(?).</w:t>
        <w:br w:type="textWrapping"/>
        <w:t xml:space="preserve">Peculiar (in this form) to Luke, answering</w:t>
        <w:br w:type="textWrapping"/>
        <w:t xml:space="preserve">to Matt. v.—vii. On the whole question</w:t>
        <w:br w:type="textWrapping"/>
        <w:t xml:space="preserve">of the identity or diversity of the two discourses, see on Matt. v. 1. In Matthew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doubt that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discourse much as it was spoken;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 is intimate throughout; the arrangement wonderfully consistent and admirable. Here, on the other hand, the</w:t>
        <w:br w:type="textWrapping"/>
        <w:t xml:space="preserve">discourse is only reported in fragments—</w:t>
        <w:br w:type="textWrapping"/>
        <w:t xml:space="preserve">there is a wide gap between vv. 26 and 27,</w:t>
        <w:br w:type="textWrapping"/>
        <w:t xml:space="preserve">and there are many omissions in other parts;</w:t>
        <w:br w:type="textWrapping"/>
        <w:t xml:space="preserve">besides which, sayings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belonging apparently to other occasions,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inserted ; see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40, 45. At the same</w:t>
        <w:br w:type="textWrapping"/>
        <w:t xml:space="preserve">time we must remember, that such central</w:t>
        <w:br w:type="textWrapping"/>
        <w:t xml:space="preserve">sayings would probably be frequently uttered by Him, and might very likely 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this discourse originally. His</w:t>
        <w:br w:type="textWrapping"/>
        <w:t xml:space="preserve">teaching was not studious of novelty like</w:t>
        <w:br w:type="textWrapping"/>
        <w:t xml:space="preserve">that of men, but speaking with authority</w:t>
        <w:br w:type="textWrapping"/>
        <w:t xml:space="preserve">as He did, He would doubtless utter</w:t>
        <w:br w:type="textWrapping"/>
        <w:t xml:space="preserve">again and again the same weighty sentences when occasion occurred. Hence</w:t>
        <w:br w:type="textWrapping"/>
        <w:t xml:space="preserve">may have arisen much of the difference of</w:t>
        <w:br w:type="textWrapping"/>
        <w:t xml:space="preserve">arrangement observable in the reporte—</w:t>
        <w:br w:type="textWrapping"/>
        <w:t xml:space="preserve">because sayings known to have been uttered together at one time, might be</w:t>
        <w:br w:type="textWrapping"/>
        <w:t xml:space="preserve">thrown together with sayings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  <w:br w:type="textWrapping"/>
        <w:t xml:space="preserve">another, with some one common link perhaps connecting the two groups.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on his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discourse was</w:t>
        <w:br w:type="textWrapping"/>
        <w:t xml:space="preserve">spoken to the disciples generally,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t xml:space="preserve">Twelve particularly,—to the people prospectively ; and its subject, both here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Matthew,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state and duties of a</w:t>
        <w:br w:type="textWrapping"/>
        <w:t xml:space="preserve">disciple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suppose that St. Luke’s report of this discourse</w:t>
        <w:br w:type="textWrapping"/>
        <w:t xml:space="preserve">refers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to this world’s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poverty,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.—and the blessings to anticipated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prosperity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Messiah’s Kingdom, is</w:t>
        <w:br w:type="textWrapping"/>
        <w:t xml:space="preserve">surely quite a misapprehension. Comparing these expressions with other passages in St. Luke himself, we must have</w:t>
        <w:br w:type="textWrapping"/>
        <w:t xml:space="preserve">concluded,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even without St. Matthew's re-</w:t>
        <w:br w:type="textWrapping"/>
        <w:t xml:space="preserve">port,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bore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sense;</w:t>
        <w:br w:type="textWrapping"/>
        <w:t xml:space="preserve">see ch. xvi. 11, where he 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</w:t>
        <w:br w:type="textWrapping"/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riches,’ and ch. xii. 21, where we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who would</w:t>
        <w:br w:type="textWrapping"/>
        <w:t xml:space="preserve">apply such an interpretation to our ver.</w:t>
        <w:br w:type="textWrapping"/>
        <w:t xml:space="preserve">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each of these beatitudes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corresponding notes in Matthew.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kingdom of</w:t>
        <w:br w:type="textWrapping"/>
        <w:t xml:space="preserve">heaven,”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Matthew, but it does not thence</w:t>
        <w:br w:type="textWrapping"/>
        <w:t xml:space="preserve">follow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“heaven”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same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two are different ways of</w:t>
        <w:br w:type="textWrapping"/>
        <w:t xml:space="preserve">designating the same kingdom—the one</w:t>
        <w:br w:type="textWrapping"/>
        <w:t xml:space="preserve">by its situation—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 which is above,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Gal.</w:t>
        <w:br w:type="textWrapping"/>
        <w:t xml:space="preserve">iv. 26), the other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whose it is.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 understood of Jewish 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4C/Rpn65mVWs6Yf0njUQcu6hLA==">AMUW2mVjpnfPOfI1J4p4ZkR70fnXJV+VD+nFtYB+x7q4Bs0UAcaG7jQNvWYoJxsV4jvj+NtpZkB5Migz4ciFRNvp2DGLITIuAcxeQssdpRd9wwPpxp1nYjk=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