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29, 30.]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{29} It has been imagined that</w:t>
        <w:br w:type="textWrapping"/>
        <w:t xml:space="preserve">these words are a continuation of our</w:t>
        <w:br w:type="textWrapping"/>
        <w:t xml:space="preserve">Lord’s discourse, but surely they would</w:t>
        <w:br w:type="textWrapping"/>
        <w:t xml:space="preserve">thus be most unnatural. They are evidently </w:t>
        <w:br w:type="textWrapping"/>
        <w:t xml:space="preserve">a parenthetical insertion of the</w:t>
        <w:br w:type="textWrapping"/>
        <w:t xml:space="preserve">Evangelist, expressive not of what had</w:t>
        <w:br w:type="textWrapping"/>
        <w:t xml:space="preserve">taken place during John’s baptism, but of</w:t>
        <w:br w:type="textWrapping"/>
        <w:t xml:space="preserve">the present effect of our Lord’s discourse</w:t>
        <w:br w:type="textWrapping"/>
        <w:t xml:space="preserve">on the then assembled multitude. Their</w:t>
        <w:br w:type="textWrapping"/>
        <w:t xml:space="preserve">whole dictio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form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historical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</w:t>
        <w:br w:type="textWrapping"/>
        <w:t xml:space="preserve">belonging to discourse. See likewise a</w:t>
        <w:br w:type="textWrapping"/>
        <w:t xml:space="preserve">gram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atical objection to this rendering</w:t>
        <w:br w:type="textWrapping"/>
        <w:t xml:space="preserve">in my Greek Test.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Matthew, vv. 16—19.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ANOINTING OF JESUS’ FEET</w:t>
        <w:br w:type="textWrapping"/>
        <w:t xml:space="preserve">BY A PENITENT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MAN. Peculiar to</w:t>
        <w:br w:type="textWrapping"/>
        <w:t xml:space="preserve">Luke. It is hardly possible to imagine</w:t>
        <w:br w:type="textWrapping"/>
        <w:t xml:space="preserve">that this history can relate to the same</w:t>
        <w:br w:type="textWrapping"/>
        <w:t xml:space="preserve">incident as that detailed Matt. xxvi. 6;</w:t>
        <w:br w:type="textWrapping"/>
        <w:t xml:space="preserve">Mark xiv. 3; John xii. 3: although such</w:t>
        <w:br w:type="textWrapping"/>
        <w:t xml:space="preserve">an opinion has been entertained from the</w:t>
        <w:br w:type="textWrapping"/>
        <w:t xml:space="preserve">earliest times. Origen mentions and </w:t>
        <w:br w:type="textWrapping"/>
        <w:t xml:space="preserve">controverts it. It has been held in modern</w:t>
        <w:br w:type="textWrapping"/>
        <w:t xml:space="preserve">times by Grotius, Schleiermacher, Ewald,</w:t>
        <w:br w:type="textWrapping"/>
        <w:t xml:space="preserve">and Hug: and recently by Bleek. But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particular common to the two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(unless indeed we account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name of the</w:t>
        <w:br w:type="textWrapping"/>
        <w:t xml:space="preserve">host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such, which is hardly worth</w:t>
        <w:br w:type="textWrapping"/>
        <w:t xml:space="preserve">recounting),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anointing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 that is not strictly the 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character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description</w:t>
        <w:br w:type="textWrapping"/>
        <w:t xml:space="preserve">of the host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sayings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ttered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are different. And if the </w:t>
        <w:br w:type="textWrapping"/>
        <w:t xml:space="preserve">probability of this occurring twice is to be</w:t>
        <w:br w:type="textWrapping"/>
        <w:t xml:space="preserve">questioned, we may fairly say, that an</w:t>
        <w:br w:type="textWrapping"/>
        <w:t xml:space="preserve">action of this kind, which had been once</w:t>
        <w:br w:type="textWrapping"/>
        <w:t xml:space="preserve">commended by our Lord,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very likely</w:t>
        <w:br w:type="textWrapping"/>
        <w:t xml:space="preserve">to have been repeated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especially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</w:t>
        <w:br w:type="textWrapping"/>
        <w:t xml:space="preserve">such a time as ‘six days before the last</w:t>
        <w:br w:type="textWrapping"/>
        <w:t xml:space="preserve">Passover,’ and by one anointing Him for</w:t>
        <w:br w:type="textWrapping"/>
        <w:t xml:space="preserve">His burial.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add, that there</w:t>
        <w:br w:type="textWrapping"/>
        <w:t xml:space="preserve">is not the least reason for supposing the</w:t>
        <w:br w:type="textWrapping"/>
        <w:t xml:space="preserve">woman in this incident to have been Mary</w:t>
        <w:br w:type="textWrapping"/>
        <w:t xml:space="preserve">Magdalene. The introduction of 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  <w:br w:type="textWrapping"/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ew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soon after (ch. viii. 2), and</w:t>
        <w:br w:type="textWrapping"/>
        <w:t xml:space="preserve">what is there stated of her, make the notion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b3iugHxOux08BU1p0+mhgYlZ8g==">CgMxLjA4AHIhMVBoZi12ODF3U0UybWRWeTJmQVRRVnBLMXVJdFNtWE9o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