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and miracles to be further taught, that brought them together to Him now. He spoke this parable sitting in a boat, and the multitude on the shore.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14.] this life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belongs to all three substantives.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15.]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It has been said, on Matthew, ver. 23, that all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receptivity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the seed is from God—and all men have receptivity enough to make it matter of condemnation to them that they receive it not in earnest,</w:t>
        <w:br w:type="textWrapping"/>
        <w:t xml:space="preserve">and bring not forth fruit. But there is in</w:t>
        <w:br w:type="textWrapping"/>
        <w:t xml:space="preserve">this very receptivity a wide difference between men; some being false-hearted, hating the truth, deceiving themselves,—</w:t>
        <w:br w:type="textWrapping"/>
        <w:t xml:space="preserve">others being earnest and simple-minded,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illing to be taught, and humble enough</w:t>
        <w:br w:type="textWrapping"/>
        <w:t xml:space="preserve">to receive ‘with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meekness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engrafted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word. It is of these that our Lord here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speaks;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this kind was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Nathanael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</w:t>
        <w:br w:type="textWrapping"/>
        <w:t xml:space="preserve">Israelite indeed in whom was no guile,</w:t>
        <w:br w:type="textWrapping"/>
        <w:t xml:space="preserve">John i. 48: see also John xviii.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7, 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Every 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that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heareth My voice,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Trench on the Parables,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loc.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patience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—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consistently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through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course of a life spent in duties, and amidst 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discouragements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“he that endureth unto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end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same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shall be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be saved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Matt.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xxiv.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16—18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Mark iv. 21–25, where see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notes. </w:t>
        <w:br w:type="textWrapping"/>
        <w:t xml:space="preserve">The sayings occur in several parts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Yu+Uac8MQzsmAmtUYo2qhU0jHw==">CgMxLjA4AHIhMUYyc09lRU9QVEkzTUxZdUtVajZKZ0xNVTBNTFB1cXBq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