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demons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entered into</w:t>
        <w:br w:type="textWrapping"/>
        <w:t xml:space="preserve">this wretched man, sets before us terribly</w:t>
        <w:br w:type="textWrapping"/>
        <w:t xml:space="preserve">the utter break up of his personal and</w:t>
        <w:br w:type="textWrapping"/>
        <w:t xml:space="preserve">rational being. The words will not bear</w:t>
        <w:br w:type="textWrapping"/>
        <w:t xml:space="preserve">any 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gurat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 rendering, but must be</w:t>
        <w:br w:type="textWrapping"/>
        <w:t xml:space="preserve">taken literally (see ver. 2 of this chap.,</w:t>
        <w:br w:type="textWrapping"/>
        <w:t xml:space="preserve">and ch. xi. 24 ff.) ; viz. that in the same</w:t>
        <w:br w:type="textWrapping"/>
        <w:t xml:space="preserve">sense in which other poor creatures were</w:t>
        <w:br w:type="textWrapping"/>
        <w:t xml:space="preserve">possessed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evil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Matthew), this man, and Mary Magdalene, were possessed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 the abyss]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word is sometimes used for </w:t>
        <w:br w:type="textWrapping"/>
        <w:t xml:space="preserve">Hadés in general (Rom. x. 7), but more</w:t>
        <w:br w:type="textWrapping"/>
        <w:t xml:space="preserve">usually in Scripture for the abode of</w:t>
        <w:br w:type="textWrapping"/>
        <w:t xml:space="preserve">damned spirits: see reff. This last is certainly meant here—for the request is coordinate with the fear of torment expressed above (see note on ch. xvi. 23).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 as Dr. Wordsworth remarks, we must</w:t>
        <w:br w:type="textWrapping"/>
        <w:t xml:space="preserve">distinguish between the abyss, the inter-</w:t>
        <w:br w:type="textWrapping"/>
        <w:t xml:space="preserve">mediate place of torment, and the lake of</w:t>
        <w:br w:type="textWrapping"/>
        <w:t xml:space="preserve">fire, into which the devil will be cast by</w:t>
        <w:br w:type="textWrapping"/>
        <w:t xml:space="preserve">Christ at the end: see Rev. xx. 3, 10.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35.] they went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people in the</w:t>
        <w:br w:type="textWrapping"/>
        <w:t xml:space="preserve">town and country 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Mat-</w:t>
        <w:br w:type="textWrapping"/>
        <w:t xml:space="preserve">thew ; here understood in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the feet of Jesus]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particularity</w:t>
        <w:br w:type="textWrapping"/>
        <w:t xml:space="preserve">denotes an eye-witness. The phrases common to Mark and Luke, e. g. clothed, 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right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that saw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denote a common origin of the two narratives, which have however become considerably deflected, as comparison will</w:t>
        <w:br w:type="textWrapping"/>
        <w:t xml:space="preserve">shew.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notes on Mark.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40—56.]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RAISING OF JAIRUS’S DAUGHTER, AND THE HEALING OF A WOMAN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4qm6vhznx6T3PS5qUDXf6/y8A==">CgMxLjA4AHIhMTRJZUtzVEZham5IZjI1bW16RmJING9PbWlDMmYzUXNR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