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awake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through the whole. The word seems to be expressly used here to shew that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merely a vision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seen in sleep.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 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they were 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</w:t>
        <w:br w:type="textWrapping"/>
        <w:t xml:space="preserve">were said with a desire to hinder their</w:t>
        <w:br w:type="textWrapping"/>
        <w:t xml:space="preserve">departure.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knowing what he 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fear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astonishment—”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they were sore afraid,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Mark.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is no difference in the accounts, as has been imagined: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they departed...,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ver. 33, is only an additional particular, and the rest is exactly in accordance. Notice however the remarkable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chosen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correct text: and compare the references,—in which places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New Testament the term is applied to the Son of God. Compare also Ps. lxxxix. 3. 19: Isa. xliii. 10 (cited in Matt. xii. 18).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St. Luke gives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our Lord’s command to them: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related in Matthew ver. 9, and Mark ver. 9.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37–42.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HEALING OF A POSSESSED PERSON. Matt. xvii. 14–21. Mark ix. 14–29. The narrative in Mark is by far the most copious and I have there commented at length on it.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 the next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transfiguration probably took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night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,—see on Matt. xvii. 1,—and this was in the morning. St. Luke omits the whole discourse concerning Elias (Matthew and Mark, vv. 9–13).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is mine only child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peculiar to Luke.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43–45.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OUR LORD’S SECOND ANNOUNCEMENT OF HIS DEATH. Matt. xvii.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rIxJtPRIs0skLi3drC7Ecmw0JA==">CgMxLjA4AHIhMTFCMmU1TFBlQmJ3UDJMMnRvekgtZm5RdEZ5UTBySTNv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