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clothe us: Gal. iii. 21 (Trench remarks</w:t>
        <w:br w:type="textWrapping"/>
        <w:t xml:space="preserve">that the Church, by joining the passage</w:t>
        <w:br w:type="textWrapping"/>
        <w:t xml:space="preserve">Gal. iii. 16–23 as Epistle, with this Parable as Gospel for the 13th Sunday after</w:t>
        <w:br w:type="textWrapping"/>
        <w:t xml:space="preserve">Trinity, has stamped this interpretation</w:t>
        <w:br w:type="textWrapping"/>
        <w:t xml:space="preserve">with her approval):—in the good Samaritan, Him of whom it was lately said,</w:t>
        <w:br w:type="textWrapping"/>
        <w:t xml:space="preserve">“Say we not well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art a Samaritan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hast a devil?” (John viii. 48)—</w:t>
        <w:br w:type="textWrapping"/>
        <w:t xml:space="preserve">who came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bind up the broken-hearted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to give them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oil of joy for mourning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(Isa. lxi. 1 ff.);—who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our sakes became poor, that we through His poverty</w:t>
        <w:br w:type="textWrapping"/>
        <w:t xml:space="preserve">might become rich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who, though now gone</w:t>
        <w:br w:type="textWrapping"/>
        <w:t xml:space="preserve">from us, has left with us precious gifts, and</w:t>
        <w:br w:type="textWrapping"/>
        <w:t xml:space="preserve">charged His ministers to feed His lambs,</w:t>
        <w:br w:type="textWrapping"/>
        <w:t xml:space="preserve">promising them, when the chief Shepherd</w:t>
        <w:br w:type="textWrapping"/>
        <w:t xml:space="preserve">shall appear, a crown of glory that fadeth</w:t>
        <w:br w:type="textWrapping"/>
        <w:t xml:space="preserve">not away (1 Pet. v. 2, 4). Further perhaps</w:t>
        <w:br w:type="textWrapping"/>
        <w:t xml:space="preserve">it is well not to go;—or, if we do, only in</w:t>
        <w:br w:type="textWrapping"/>
        <w:t xml:space="preserve">our own private meditations, where, if we</w:t>
        <w:br w:type="textWrapping"/>
        <w:t xml:space="preserve">have the great clue to such interpretations,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 of Christ for ourselves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sound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under the guidance of His</w:t>
        <w:br w:type="textWrapping"/>
        <w:t xml:space="preserve">Spirit,—we shall not go far wrong. But</w:t>
        <w:br w:type="textWrapping"/>
        <w:t xml:space="preserve">minutely to allegorize, is to bring the sound</w:t>
        <w:br w:type="textWrapping"/>
        <w:t xml:space="preserve">spiritual interpretation into disrepute, and</w:t>
        <w:br w:type="textWrapping"/>
        <w:t xml:space="preserve">throw stumbling-blocks in the way of</w:t>
        <w:br w:type="textWrapping"/>
        <w:t xml:space="preserve">many, who might otherwise arrive at it.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38–42.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ENTERTAINMENT OF OUR</w:t>
        <w:br w:type="textWrapping"/>
        <w:t xml:space="preserve">LORD AT THE HOUSE OF MARTHA AND</w:t>
        <w:br w:type="textWrapping"/>
        <w:t xml:space="preserve">MARY. It surely never could be doubted</w:t>
        <w:br w:type="textWrapping"/>
        <w:t xml:space="preserve">who this Martha and Mary were, nor</w:t>
        <w:br w:type="textWrapping"/>
        <w:t xml:space="preserve">where this took place,—but that the harmonizing spirit has so beclouded the sight</w:t>
        <w:br w:type="textWrapping"/>
        <w:t xml:space="preserve">of our critics. Bengel believes 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  <w:br w:type="textWrapping"/>
        <w:t xml:space="preserve">to be the sisters of Lazarus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another</w:t>
        <w:br w:type="textWrapping"/>
        <w:t xml:space="preserve">Martha and Mary somewhere else;—and</w:t>
        <w:br w:type="textWrapping"/>
        <w:t xml:space="preserve">this in spite of the deep psychological</w:t>
        <w:br w:type="textWrapping"/>
        <w:t xml:space="preserve">identity of characters which meets us in</w:t>
        <w:br w:type="textWrapping"/>
        <w:t xml:space="preserve">John xi. xii.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Greswell, still more</w:t>
        <w:br w:type="textWrapping"/>
        <w:t xml:space="preserve">strangely, believes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persons to be the</w:t>
        <w:br w:type="textWrapping"/>
        <w:t xml:space="preserve">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that they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 residence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Galilee. I shall, as elsewhere, take the</w:t>
        <w:br w:type="textWrapping"/>
        <w:t xml:space="preserve">text in its most obvious and simple interpretation, and where nothing definite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throw light on it from what</w:t>
        <w:br w:type="textWrapping"/>
        <w:t xml:space="preserve">we know from other sources. And I</w:t>
        <w:br w:type="textWrapping"/>
        <w:t xml:space="preserve">believe most readers will agree with me</w:t>
        <w:br w:type="textWrapping"/>
        <w:t xml:space="preserve">in taking these for the sisters of Lazarus,</w:t>
        <w:br w:type="textWrapping"/>
        <w:t xml:space="preserve">and the village for Bethany.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they went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 make no difficulty—the</w:t>
        <w:br w:type="textWrapping"/>
        <w:t xml:space="preserve">whole of the events related in this section</w:t>
        <w:br w:type="textWrapping"/>
        <w:t xml:space="preserve">of the Gospel are allotted, as in the widest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 they belonged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last journey of our Lord from Galilee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ended in the</w:t>
        <w:br w:type="textWrapping"/>
        <w:t xml:space="preserve">triumphal entry into Jerusalem;—see note</w:t>
        <w:br w:type="textWrapping"/>
        <w:t xml:space="preserve">on ch. ix. 51 ff. Jesus, as we know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afterwards did, so now probably, when</w:t>
        <w:br w:type="textWrapping"/>
        <w:t xml:space="preserve">at Jerusalem (at the feast of Dedication),</w:t>
        <w:br w:type="textWrapping"/>
        <w:t xml:space="preserve">abode at Bethany. He ‘loved’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(only</w:t>
        <w:br w:type="textWrapping"/>
        <w:t xml:space="preserve">used in this sense by John with regard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fami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—Martha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Mary and Lazarus—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word implies</w:t>
        <w:br w:type="textWrapping"/>
        <w:t xml:space="preserve">surely hospitality and intercourse.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certain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does not follow that</w:t>
        <w:br w:type="textWrapping"/>
        <w:t xml:space="preserve">Martha was a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incident brings</w:t>
        <w:br w:type="textWrapping"/>
        <w:t xml:space="preserve">out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sisters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no</w:t>
        <w:br w:type="textWrapping"/>
        <w:t xml:space="preserve">others are mentioned. She may have had</w:t>
        <w:br w:type="textWrapping"/>
        <w:t xml:space="preserve">a husband or a father living. At all</w:t>
        <w:br w:type="textWrapping"/>
        <w:t xml:space="preserve">events, it is a consistency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real life, that we find the same person</w:t>
        <w:br w:type="textWrapping"/>
        <w:t xml:space="preserve">prominent in the family in John, as here.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appear that the</w:t>
        <w:br w:type="textWrapping"/>
        <w:t xml:space="preserve">meal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begu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far rather is it likely</w:t>
        <w:br w:type="textWrapping"/>
        <w:t xml:space="preserve">that Martha was busy about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  <w:br w:type="textWrapping"/>
        <w:t xml:space="preserve">Mary sat at the Lord’s feet, as His disciple,</w:t>
        <w:br w:type="textWrapping"/>
        <w:t xml:space="preserve">while He was discoursing.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41, 4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{41}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repetition of her name indicates reproof.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careful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the same</w:t>
        <w:br w:type="textWrapping"/>
        <w:t xml:space="preserve">word as that in Matt. vi. 25, &amp;c., and there</w:t>
        <w:br w:type="textWrapping"/>
        <w:t xml:space="preserve">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anxious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expresses the inner anxiety:—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troubled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outer bustle and confusion.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 we should not express the</w:t>
        <w:br w:type="textWrapping"/>
        <w:t xml:space="preserve">two words more definitely, for fear of</w:t>
        <w:br w:type="textWrapping"/>
        <w:t xml:space="preserve">narrowing the wide sense in which</w:t>
        <w:br w:type="textWrapping"/>
        <w:t xml:space="preserve">are spoken. 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hardly doubt that our</w:t>
        <w:br w:type="textWrapping"/>
        <w:t xml:space="preserve">Lord,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and most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obvious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indicated that simpler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reparation</w:t>
        <w:br w:type="textWrapping"/>
        <w:t xml:space="preserve">would have been all that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needfu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 but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leads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to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w5rREh3ZdYmU/CdIeEtZ5iWmXQ==">CgMxLjA4AHIhMWk1M1R1U2xoY2RMX3lxZnNGR09VUjRpSUVsd0w3RHNB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