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 Lord, but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steward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when He appears.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parable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not, the two</w:t>
        <w:br w:type="textWrapping"/>
        <w:t xml:space="preserve">verses,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:—‘ Who are they</w:t>
        <w:br w:type="textWrapping"/>
        <w:t xml:space="preserve">that are thus to wait and watch, and to be</w:t>
        <w:br w:type="textWrapping"/>
        <w:t xml:space="preserve">thus honoured at the Lord’s coming ?’</w:t>
        <w:br w:type="textWrapping"/>
        <w:t xml:space="preserve">This question coming in so suddenly and</w:t>
        <w:br w:type="textWrapping"/>
        <w:t xml:space="preserve">unconnectedly and remaining apparently</w:t>
        <w:br w:type="textWrapping"/>
        <w:t xml:space="preserve">unanswered, is among the many proofs of</w:t>
        <w:br w:type="textWrapping"/>
        <w:t xml:space="preserve">the originality and historic reality of this</w:t>
        <w:br w:type="textWrapping"/>
        <w:t xml:space="preserve">discourse.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42 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Our Lord does not</w:t>
        <w:br w:type="textWrapping"/>
        <w:t xml:space="preserve">answer the question directly, but proceeds</w:t>
        <w:br w:type="textWrapping"/>
        <w:t xml:space="preserve">with His discourse, so as to furnish it with</w:t>
        <w:br w:type="textWrapping"/>
        <w:t xml:space="preserve">an answer ;—viz. that in its highest sense</w:t>
        <w:br w:type="textWrapping"/>
        <w:t xml:space="preserve">it applies to his Apostles and ministers,</w:t>
        <w:br w:type="textWrapping"/>
        <w:t xml:space="preserve">inasmuch as to them moet has been given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stewards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—but that its application</w:t>
        <w:br w:type="textWrapping"/>
        <w:t xml:space="preserve">is gradationally downwards through all</w:t>
        <w:br w:type="textWrapping"/>
        <w:t xml:space="preserve">those who know their Master’s will, even</w:t>
        <w:br w:type="textWrapping"/>
        <w:t xml:space="preserve">to the lowest, whose measure both of responsibility </w:t>
        <w:br w:type="textWrapping"/>
        <w:t xml:space="preserve">and of reward is more limited.</w:t>
        <w:br w:type="textWrapping"/>
        <w:t xml:space="preserve">For the comment on vv. 42—46 see on</w:t>
        <w:br w:type="textWrapping"/>
        <w:t xml:space="preserve">Matt. xxiv. 45—51. Notice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unbelievers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here is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hypocrites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Matthew.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47, 48.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{47}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Primarily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reference to the</w:t>
        <w:br w:type="textWrapping"/>
        <w:t xml:space="preserve">question in ver. 41. Those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knew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represent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disciples: those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  <w:br w:type="textWrapping"/>
        <w:t xml:space="preserve">knew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represent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multitude :—</w:t>
        <w:br w:type="textWrapping"/>
        <w:t xml:space="preserve">but the application is not limited to this:</w:t>
        <w:br w:type="textWrapping"/>
        <w:t xml:space="preserve">the truth is one of universal extent.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prepared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—we must not supply,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</w:t>
        <w:br w:type="textWrapping"/>
        <w:t xml:space="preserve">as A. V., 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matters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will: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prepared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almost in the </w:t>
        <w:br w:type="textWrapping"/>
        <w:t xml:space="preserve">absolute sense of ‘making ready :’—it refers</w:t>
        <w:br w:type="textWrapping"/>
        <w:t xml:space="preserve">back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ye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ver. 40;</w:t>
        <w:br w:type="textWrapping"/>
        <w:t xml:space="preserve">this readiness being not only preparing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matters over which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charge, ver. 35. There is reference to</w:t>
        <w:br w:type="textWrapping"/>
        <w:t xml:space="preserve">Deut. xxv. 2. </w:t>
        <w:br w:type="textWrapping"/>
        <w:br w:type="textWrapping"/>
        <w:t xml:space="preserve">{48}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 that knew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case is of one (a disciple in the</w:t>
        <w:br w:type="textWrapping"/>
        <w:t xml:space="preserve">Sed reference, but then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</w:t>
        <w:br w:type="textWrapping"/>
        <w:t xml:space="preserve">men) who bon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â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fide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ignorant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will. That such persons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</w:t>
        <w:br w:type="textWrapping"/>
        <w:t xml:space="preserve">punished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both the sentence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Levit. v. 17—19, and an inference from</w:t>
        <w:br w:type="textWrapping"/>
        <w:t xml:space="preserve">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set forth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and Rom. i.</w:t>
        <w:br w:type="textWrapping"/>
        <w:t xml:space="preserve">19, 20,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2; ii. 14, 15,—that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atural</w:t>
        <w:br w:type="textWrapping"/>
        <w:t xml:space="preserve">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have prevented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  <w:br w:type="textWrapping"/>
        <w:t xml:space="preserve">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(Observe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classes,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included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knew and 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knew not and 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far as</w:t>
        <w:br w:type="textWrapping"/>
        <w:t xml:space="preserve">that can be said [see Rom. ii. 14] ;—the</w:t>
        <w:br w:type="textWrapping"/>
        <w:t xml:space="preserve">reference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only to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both cases, or rather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the first case and its equivalent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</w:t>
        <w:br w:type="textWrapping"/>
        <w:t xml:space="preserve">things worthy of stripes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second.)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difficulty seems to be to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  <w:br w:type="textWrapping"/>
        <w:t xml:space="preserve">beaten with few stripes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uch will</w:t>
        <w:br w:type="textWrapping"/>
        <w:t xml:space="preserve">ES the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priori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consonant</w:t>
        <w:br w:type="textWrapping"/>
        <w:t xml:space="preserve">to the justice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 the earth :</w:t>
        <w:br w:type="textWrapping"/>
        <w:t xml:space="preserve">and we have it here declared,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not revealed to us. It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ndQM38mnm9c2mmCuJPkYpkbbng==">CgMxLjA4AHIhMUs1a1lUZGZOclBCdUxKdGdKb2dlM0tPblJ3MElXX1Zr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