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with hardly enough reference</w:t>
        <w:br w:type="textWrapping"/>
        <w:t xml:space="preserve">to its own peculiar context, or to the</w:t>
        <w:br w:type="textWrapping"/>
        <w:t xml:space="preserve">symbolic language of Scripture in other</w:t>
        <w:br w:type="textWrapping"/>
        <w:t xml:space="preserve">places. Ordinarily the owner of the vineyard </w:t>
        <w:br w:type="textWrapping"/>
        <w:t xml:space="preserve">is explained to be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Eternal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 dresser and intercessor,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Son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 the fig-tree,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whole Jewish</w:t>
        <w:br w:type="textWrapping"/>
        <w:t xml:space="preserve">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 vineyard,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it</w:t>
        <w:br w:type="textWrapping"/>
        <w:t xml:space="preserve">may be objected to this, that the owner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seek the fruit, which can be properly </w:t>
        <w:br w:type="textWrapping"/>
        <w:t xml:space="preserve">said only of Him who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came unto</w:t>
        <w:br w:type="textWrapping"/>
        <w:t xml:space="preserve">His 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”—who is even in Matthew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—and by implication there,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possessor </w:t>
        <w:br w:type="textWrapping"/>
        <w:t xml:space="preserve">of the vineyard “whey he shall</w:t>
        <w:br w:type="textWrapping"/>
        <w:t xml:space="preserve">come”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(for that destruction He universally</w:t>
        <w:br w:type="textWrapping"/>
        <w:t xml:space="preserve">represents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coming). The other</w:t>
        <w:br w:type="textWrapping"/>
        <w:t xml:space="preserve">objections will come out in the direct</w:t>
        <w:br w:type="textWrapping"/>
        <w:t xml:space="preserve">exposition of the Parable, which I take to</w:t>
        <w:br w:type="textWrapping"/>
        <w:t xml:space="preserve">be this: — The link which binds it to the</w:t>
        <w:br w:type="textWrapping"/>
        <w:t xml:space="preserve">foregoing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Except ye repent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...; and it</w:t>
        <w:br w:type="textWrapping"/>
        <w:t xml:space="preserve">is addressed rather to individuals than to</w:t>
        <w:br w:type="textWrapping"/>
        <w:t xml:space="preserve">the whole nation—though of course to the</w:t>
        <w:br w:type="textWrapping"/>
        <w:t xml:space="preserve">whole nation as made up of individuals.</w:t>
        <w:br w:type="textWrapping"/>
        <w:t xml:space="preserve">The vineyard is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would</w:t>
        <w:br w:type="textWrapping"/>
        <w:t xml:space="preserve">be wholly inconsistent with Scriptare symbolism </w:t>
        <w:br w:type="textWrapping"/>
        <w:t xml:space="preserve">(for Matt. xiii. 24 the comparison</w:t>
        <w:br w:type="textWrapping"/>
        <w:t xml:space="preserve">is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kingdom of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”—the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Gospel dispensation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which the field—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the vineyard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—is the whole world);</w:t>
        <w:br w:type="textWrapping"/>
        <w:t xml:space="preserve">but, as in Isa. v.7,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house of Israel and</w:t>
        <w:br w:type="textWrapping"/>
        <w:t xml:space="preserve">the men of Judah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notes on Matt. xxi.</w:t>
        <w:br w:type="textWrapping"/>
        <w:t xml:space="preserve">33 ff.). The fig-tree planted in the vineyard—among </w:t>
        <w:br w:type="textWrapping"/>
        <w:t xml:space="preserve">the vines—(a usual thing)</w:t>
        <w:br w:type="textWrapping"/>
        <w:t xml:space="preserve">denotes an individual application, fixing</w:t>
        <w:br w:type="textWrapping"/>
        <w:t xml:space="preserve">each man’s thought upon one tree—and</w:t>
        <w:br w:type="textWrapping"/>
        <w:t xml:space="preserve">that one,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just as the guest without </w:t>
        <w:br w:type="textWrapping"/>
        <w:t xml:space="preserve">the wedding-garment in Matt. xxii.</w:t>
        <w:br w:type="textWrapping"/>
        <w:t xml:space="preserve">He who had the tree planted in His vineyard </w:t>
        <w:br w:type="textWrapping"/>
        <w:t xml:space="preserve">(—‘ All things that the Father hath,</w:t>
        <w:br w:type="textWrapping"/>
        <w:t xml:space="preserve">are Mine’—John xvi. 15), came seeking</w:t>
        <w:br w:type="textWrapping"/>
        <w:t xml:space="preserve">fruit, and found it not: see Matt. xxi. 19</w:t>
        <w:br w:type="textWrapping"/>
        <w:t xml:space="preserve">and note. (The vine-dresser, see below.)</w:t>
        <w:br w:type="textWrapping"/>
        <w:t xml:space="preserve">He commands it to be cut down, as</w:t>
        <w:br w:type="textWrapping"/>
        <w:t xml:space="preserve">encumbering the soil (exhausting it,</w:t>
        <w:br w:type="textWrapping"/>
        <w:t xml:space="preserve">rendering it inactive); three years has</w:t>
        <w:br w:type="textWrapping"/>
        <w:t xml:space="preserve">He been coming and seeking fruit in this</w:t>
        <w:br w:type="textWrapping"/>
        <w:t xml:space="preserve">tree, and he findeth none. Then, at the</w:t>
        <w:br w:type="textWrapping"/>
        <w:t xml:space="preserve">intercession of the vine-dresser, He consents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 this is implied) to spare it this year</w:t>
        <w:br w:type="textWrapping"/>
        <w:t xml:space="preserve">also, until it been manured ; if that</w:t>
        <w:br w:type="textWrapping"/>
        <w:t xml:space="preserve">fail, the Intercessor himself has no more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plea to urge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—it is to be cut down.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this Intercessor?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First look</w:t>
        <w:br w:type="textWrapping"/>
        <w:t xml:space="preserve">at the matter of fact.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were the vine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ressers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God’s vineyard? They were</w:t>
        <w:br w:type="textWrapping"/>
        <w:t xml:space="preserve">many. Moses, the Prophets, the Baptist,</w:t>
        <w:br w:type="textWrapping"/>
        <w:t xml:space="preserve">the Lord Himself, the Apostles and Teachers </w:t>
        <w:br w:type="textWrapping"/>
        <w:t xml:space="preserve">after Him. But 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Personality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might be set forth as pervading all these,</w:t>
        <w:br w:type="textWrapping"/>
        <w:t xml:space="preserve">‘striving with man’ in them all—as being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vine-dresser?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Clearly it seems to me,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Holy Spirit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the passage</w:t>
        <w:br w:type="textWrapping"/>
        <w:t xml:space="preserve">just allu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to, Gen. 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can hardly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recognize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 features of 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present parable ; especially when the days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compared by the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His own coming to vengeance. The intercessory </w:t>
        <w:br w:type="textWrapping"/>
        <w:t xml:space="preserve">office of the Spirit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Advocate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see </w:t>
        <w:br w:type="textWrapping"/>
        <w:t xml:space="preserve">on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xiv. 16), pleading with</w:t>
        <w:br w:type="textWrapping"/>
        <w:t xml:space="preserve">man and for man, and resigning that</w:t>
        <w:br w:type="textWrapping"/>
        <w:t xml:space="preserve">blessed conflict when met with inveterate</w:t>
        <w:br w:type="textWrapping"/>
        <w:t xml:space="preserve">obduracy, is often set before us in Scripture. </w:t>
        <w:br w:type="textWrapping"/>
        <w:t xml:space="preserve">See the whole history of Saul ; Zech.</w:t>
        <w:br w:type="textWrapping"/>
        <w:t xml:space="preserve">vii. 12—14: Prov. i. 23—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2: 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lxiii.</w:t>
        <w:br w:type="textWrapping"/>
        <w:t xml:space="preserve">10: Neh. ix. 20: Rom. viii. 26, 27.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 three 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 have little doubt that</w:t>
        <w:br w:type="textWrapping"/>
        <w:t xml:space="preserve">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intended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years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our Lord’s 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objection to</w:t>
        <w:br w:type="textWrapping"/>
        <w:t xml:space="preserve">this, that the cutting down ought then to</w:t>
        <w:br w:type="textWrapping"/>
        <w:t xml:space="preserve">have taken 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the end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does not apply; for all is left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indefinite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request and the implied answer. In</w:t>
        <w:br w:type="textWrapping"/>
        <w:t xml:space="preserve">the individual application,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thousands</w:t>
        <w:br w:type="textWrapping"/>
        <w:t xml:space="preserve">did bear fruit this very 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and of those</w:t>
        <w:br w:type="textWrapping"/>
        <w:t xml:space="preserve">who did not, who shall say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Spirit</w:t>
        <w:br w:type="textWrapping"/>
        <w:t xml:space="preserve">ceased pleading with them, and the final</w:t>
        <w:br w:type="textWrapping"/>
        <w:t xml:space="preserve">sentence went forth?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why moreover</w:t>
        <w:br w:type="textWrapping"/>
        <w:t xml:space="preserve">cumbereth it the ground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 e. Why, besides </w:t>
        <w:br w:type="textWrapping"/>
        <w:t xml:space="preserve">bearing no fruit, is it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impoverish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</w:t>
        <w:br w:type="textWrapping"/>
        <w:t xml:space="preserve">the soil—rendering the neighbouring</w:t>
        <w:br w:type="textWrapping"/>
        <w:t xml:space="preserve">ground useless ?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till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dig</w:t>
        <w:br w:type="textWrapping"/>
        <w:t xml:space="preserve">holes about the root, cast in manure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is done to orange-trees in the south of</w:t>
        <w:br w:type="textWrapping"/>
        <w:t xml:space="preserve">Italy, and to hop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England.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After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a breaking off,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be supplied: but not without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FogEabTcAQY5qhlTwpJg6oIv2A==">CgMxLjA4AHIhMV9NLWtEcWZxcFhremNFWXZFbEdtaHFsS1ZuSkVRRWZ1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