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Gamaliel, &amp;c.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eat bread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Jews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used to give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entertainments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Sabbath, see Neh. viii. 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12; Tobit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1.</w:t>
        <w:br w:type="textWrapping"/>
        <w:t xml:space="preserve">The practice latterly became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 abuse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quotations from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ugustine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my Greek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ver. 4, and compare ch. vii.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note on ver. 45. “ He was standing there,”</w:t>
        <w:br w:type="textWrapping"/>
        <w:t xml:space="preserve">says Euthymius, “not daring 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</w:t>
        <w:br w:type="textWrapping"/>
        <w:t xml:space="preserve">healed, on account of the Sabbath, and the</w:t>
        <w:br w:type="textWrapping"/>
        <w:t xml:space="preserve">Pharisees; but only shewing himself, that</w:t>
        <w:br w:type="textWrapping"/>
        <w:t xml:space="preserve">our Lord might see him and be moved with pity,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proceed to heal him.”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does not appear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though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certainly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possible, that 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set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there by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pharisees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on purpose.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was before the meal(ver.7).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There is a strict propriety in the comparison: the accident and disease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analogous.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son, or an 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reading, which, from the weight</w:t>
        <w:br w:type="textWrapping"/>
        <w:t xml:space="preserve">of ancient testimony in its favour, evidently</w:t>
        <w:br w:type="textWrapping"/>
        <w:t xml:space="preserve">was the original, seemed incompatible with the supposed argument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the less to the greater :—son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was therefore altered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(as in ch. xiii. 15)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sheep,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 one of our ancient MSS. has it. But our Lord’s argument is of another and a far deeper kind.</w:t>
        <w:br w:type="textWrapping"/>
        <w:t xml:space="preserve">The stress is 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point of comparison is the ownership, consequent tender care, of the object in question.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‘Those who are in your possession and care, whether belonging to your families, or your herds, are cared for, and rescued from pershing: am I, (the possessor of heaven and earth,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—this lies in the background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) to let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mine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perish without care or rescue?’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There may be in the words the meaning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“son, or even ox;”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 I prefer rendering them simply.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7-24.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SAYINGS OF OUR LORD AT THIS SABBATH FEAST.</w:t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7–11.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It does not appear that the foregoing miracle gave occasion to this saying; so that it is with it. Our Lord, as was His practice, found His instructions on what He saw happening before Him. 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As Trench remark, it is probable this was a splendid entertainment, and the guests distinguished persons(ver. 12).</w:t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chief places, i.e., see Matt. xxiii. 6, the middle place in each couch, which was the most honourable. At a large feast there would be many of these. </w:t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whole of this has, besides its plain reference,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deeper one,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linked into it by the important word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wedding,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carrying with it all that meaning which it always has when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relating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Kingdom of God.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Both senses are obvious, and only one remark needed; —that all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false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humility, by which men put themselves lowest and dispraise themselves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set purpose to be placed higher,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is, by the very nature of our Lord’s parable,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excluded: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for that is not bond fide abasing one’s self. The exaltation at the hands of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QNyUeqfMaoJz1aYNaDsYxOX6iQ==">CgMxLjA4AGohChRzdWdnZXN0LmF0b2cyNnRmeGNuNRIJQW5vbnltb3VzciExbEwtWlRfTzRMZUZfOFBCSWtMMUVmdGpyb3hZWVRMMzg=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