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being in Jerusalem.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“to speak more definitely”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9—19.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PARABLE OF THE VINEYARD LET OUT TO HUSBANDMEN.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Matt. xxi.</w:t>
        <w:br w:type="textWrapping"/>
        <w:t xml:space="preserve">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—46. Mark xii.1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12. See notes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Matthew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for comparison of the reports, on Mark.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parable was spoken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—but (ver.19)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at, with reference to, against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chief priests and scribes.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Bengel suggests that he addressed it to the people, to guard against interruption on the part of the chief priests.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 when the husbandmen saw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is taken up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they saw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verse before, and is emphatic—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 the contrary, when they saw him . . 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infers the negation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not be — ‘How then,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Uz2YbqR1GTxpc+5szCHuTEgZ5g==">AMUW2mUwmFPIAr6atHG+e9c590vSg2jomHB+mjf9uCQyAZmDhYlU5jJ/WqjUXIWxp6Kc57j/mvbGrAfcHCji1DKZKcVyfvNmXAlx+5lqEG9ZAPLYmPNKUL8=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