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up from ver. 6. The whole difficulty has arisen from not rightly apprehending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force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death-throes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end.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 testimony,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faithfulness, and (Mark) against them.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only.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Gainsay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corresponds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mouth,resist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even by...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‘not only by strangers’ Bengel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Apostles. One of the four who heard this discourse</w:t>
        <w:br w:type="textWrapping"/>
        <w:t xml:space="preserve">discourse was put to death, Acts xii.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true; not corporeally, but in that real and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disciple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possesses.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Patience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by your endurance of all these things)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acquire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is an ungrammatical rendering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souls: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endurance being God’s appointed way, in and by which your salvation is to be put in your possession.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acquire, as “find,”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Matt. xvi.25 —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“save,”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ch.ix.24.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compassed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graphically sets forth the scene now before them, as it should then appear. On the variation of expression from  Matthew and Mark, see note on Matthew, ver. 15.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of it belongs to the “of it”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of ver. 20, and signifies not “of Judæa,”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“of Jerusalem.”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fields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countries,”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provinces.”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 in the original the same word as our Lord uses in John iv.35, where He commands His disciples to lift up their eyes on the fields.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vengeance;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this being the same word in the Greek, it is a hint perhaps at ch.xviii.8.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part</w:t>
        <w:br w:type="textWrapping"/>
        <w:t xml:space="preserve">of the verse alludes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 Daniel, which St.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has omitted,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referred to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desolation thereof”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20.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 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people,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particular. The distres</w:t>
        <w:br w:type="textWrapping"/>
        <w:t xml:space="preserve">on all the earth is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distinctly the</w:t>
        <w:br w:type="textWrapping"/>
        <w:t xml:space="preserve">result of the divine anger, as that which</w:t>
        <w:br w:type="textWrapping"/>
        <w:t xml:space="preserve">shall befall this nation.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most</w:t>
        <w:br w:type="textWrapping"/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wCKQdyNmDB7RfXJo65WP3sMtpw==">AMUW2mU2qJTMJoZNjX3alzNSp9+e1rGodnqrtO96yn8MdCiTvK5osgnl0FNJDIaVYQLKiuIMWNqr65rUGQeKSQ+8JOjEe6H4Fex1juGnGZDCHu8/UazaR1g=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