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important addition,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fix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 of the other two Evangelists, —see notes there,—and carrying on the prophetic announcements past our own  times, even close to the days of the end.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people.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remain trodden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—see Rev. xi. 2.—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 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Jerusalem. The construction of the verb in the original is unusual, and is made use of to signify a state of duration, — a condition which shall continue.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times of 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 of the Gentile dispensation,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 just as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Jerusalem was the end, fulfilment,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Jewish 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rejection of the Lord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by the Gentile world, answering to its type, His rejection by the Jews, being finished,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shall come, of which the destruction of Jerusalem was a type.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the same 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essential difference is to be insisted on. It i plural, because the Gentiles(nations) are plural: each Gentile people having in turn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25,26.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{25} The greater part of these signs are peculiar to Luke.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redemption,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completion of it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appearing.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34-36.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Peculiar to Luke.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emphatic, recalling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KlW6Xy//FNeMakysKC+fruyg5g==">CgMxLjA4AHIhMUt5LUFqanFscnd4bUhDVjBROHhUQngycVlPUk1XdWZC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