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24—80.] DISPUTE FOR PRE-EMINENCE.</w:t>
        <w:br w:type="textWrapping"/>
        <w:t xml:space="preserve">OUR LORD’S REPLY. Without attempting</w:t>
        <w:br w:type="textWrapping"/>
        <w:t xml:space="preserve">to decide the question whether this incident is strictly narrated in order of time, or identical with one of those strifes on</w:t>
        <w:br w:type="textWrapping"/>
        <w:t xml:space="preserve">this point related Matt. xviii. 1, xx. 20, I</w:t>
        <w:br w:type="textWrapping"/>
        <w:t xml:space="preserve">will offer one or two remarks on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</w:t>
        <w:br w:type="textWrapping"/>
        <w:t xml:space="preserve">here stands. (1) ItS having happened at</w:t>
        <w:br w:type="textWrapping"/>
        <w:t xml:space="preserve">this time is not altogether unaccountable.</w:t>
        <w:br w:type="textWrapping"/>
        <w:t xml:space="preserve">They had been just enquiring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themselves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(ver. 23),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among them should do this thing.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it not reasonably be</w:t>
        <w:br w:type="textWrapping"/>
        <w:t xml:space="preserve">supposed, that some of them (judas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least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would be anxiously employed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self-justification,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that this would lead,</w:t>
        <w:br w:type="textWrapping"/>
        <w:t xml:space="preserve">in some part of the table to a dispute of</w:t>
        <w:br w:type="textWrapping"/>
        <w:t xml:space="preserve">the kind here introduced? The natural</w:t>
        <w:br w:type="textWrapping"/>
        <w:t xml:space="preserve">effect of the Lord’s rebuke would be to</w:t>
        <w:br w:type="textWrapping"/>
        <w:t xml:space="preserve">give rise to a different spirit among them,</w:t>
        <w:br w:type="textWrapping"/>
        <w:t xml:space="preserve">and the question,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 Lord, is it I?”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</w:t>
        <w:br w:type="textWrapping"/>
        <w:t xml:space="preserve">have been the offspring of this better</w:t>
        <w:br w:type="textWrapping"/>
        <w:t xml:space="preserve">mind ;—but see note on Matthew vv. 20–25. (2) It is surprising to find the very declaration of our Lord on the former strife</w:t>
        <w:br w:type="textWrapping"/>
        <w:t xml:space="preserve">related in this Gospel (ch. ix. 46—48), repeated as having been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this Paschal meal,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—by John, xiii.20. May not this lead</w:t>
        <w:br w:type="textWrapping"/>
        <w:t xml:space="preserve">us to suppose that there has been a transposition of some of the circumstances regarding these various contentions among</w:t>
        <w:br w:type="textWrapping"/>
        <w:t xml:space="preserve">the Apostles, and that these words occurring in John may possibly point to a strife of this kind?</w:t>
        <w:br w:type="textWrapping"/>
        <w:t xml:space="preserve">(3)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 am in the midst of you as he that ministereth”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too clear an allusion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washing of</w:t>
        <w:br w:type="textWrapping"/>
        <w:t xml:space="preserve">at by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escaped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even those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Commentators who are slow to </w:t>
        <w:br w:type="textWrapping"/>
        <w:t xml:space="preserve">discern such hints. The appeal, 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had</w:t>
        <w:br w:type="textWrapping"/>
        <w:t xml:space="preserve">taken place,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natural ani intelligible ;</w:t>
        <w:br w:type="textWrapping"/>
        <w:t xml:space="preserve">but not otherwise. (4) The diction is repeatedly allusive to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employment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“sitting at meat”—“ eat and drink” —</w:t>
        <w:br w:type="textWrapping"/>
        <w:t xml:space="preserve">“in my my Kingdom”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’—all these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to things present, or words spoken,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during that meal.—I therefore infer that</w:t>
        <w:br w:type="textWrapping"/>
        <w:t xml:space="preserve">the strife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did happen at this time, in the</w:t>
        <w:br w:type="textWrapping"/>
        <w:t xml:space="preserve">order related here.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on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xx. 25.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 they that</w:t>
        <w:br w:type="textWrapping"/>
        <w:t xml:space="preserve">ex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rcise authority upon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are</w:t>
        <w:br w:type="textWrapping"/>
        <w:t xml:space="preserve">called benefactors,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seems to be connected with what had just taken place.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efactors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those</w:t>
        <w:br w:type="textWrapping"/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exercise authority—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I,</w:t>
        <w:br w:type="textWrapping"/>
        <w:t xml:space="preserve">your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benefactor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vv. 19, 20),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 not 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am in the midst of you as your servant.’ Ptolemy Euergetes (the benefactor)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once occurs to us;—numerous other</w:t>
        <w:br w:type="textWrapping"/>
        <w:t xml:space="preserve">examples are given by Wetstein.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John xii. 13—17.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 could hardly have been spoken</w:t>
        <w:br w:type="textWrapping"/>
        <w:t xml:space="preserve">except on this occasion,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matter</w:t>
        <w:br w:type="textWrapping"/>
        <w:t xml:space="preserve">concerning me hath an end,”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{29}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above, and note on Matt. xix.</w:t>
        <w:br w:type="textWrapping"/>
        <w:t xml:space="preserve">28, see also Rev. ii.27. 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my table: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above, ver. 21, and note on ver. 16.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PETER: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OUR LORD’s REPLY. (See</w:t>
        <w:br w:type="textWrapping"/>
        <w:t xml:space="preserve">Matt. xxvi. 30—35: Mark xiv. 26—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1: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GmemndPbQW/2DCpz3c6rGwoM3Q==">CgMxLjA4AHIhMXBrU09lV04yNS04b2MzOGNnZHh2bDRqbDYxWTF3MlN6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