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day: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words are spoken not without a reference, in the mind of the</w:t>
        <w:br w:type="textWrapping"/>
        <w:t xml:space="preserve">speaker, to His promise of rising on the</w:t>
        <w:br w:type="textWrapping"/>
        <w:t xml:space="preserve">third day.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Yea, and...or,</w:t>
        <w:br w:type="textWrapping"/>
        <w:t xml:space="preserve">but,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moreover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—equivalent to, ‘certainly,</w:t>
        <w:br w:type="textWrapping"/>
        <w:t xml:space="preserve">thus much has happened, that’....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our company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:—‘disciples, as we are.’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Apostles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 distinguished presently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certain of them</w:t>
        <w:br w:type="textWrapping"/>
        <w:t xml:space="preserve">which were with us,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ver. 24.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agrees exactly with St. Luke’s</w:t>
        <w:br w:type="textWrapping"/>
        <w:t xml:space="preserve">own narrative, but not with St. Matthew’s,</w:t>
        <w:br w:type="textWrapping"/>
        <w:t xml:space="preserve">in which they had seen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Lord Himself.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There seems however to be some</w:t>
        <w:br w:type="textWrapping"/>
        <w:t xml:space="preserve">hint that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had said something</w:t>
        <w:br w:type="textWrapping"/>
        <w:t xml:space="preserve">of having seen the Lord,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“him they saw not,”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said below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“certain of them which were with us.”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certain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ver. 12 and note.</w:t>
        <w:br w:type="textWrapping"/>
        <w:t xml:space="preserve">It is natural, even in accordance with ver.</w:t>
        <w:br w:type="textWrapping"/>
        <w:t xml:space="preserve">12, that the antithesis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“certain women”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before, and the loose way of speaking to a stranger, who (they believed) was not</w:t>
        <w:br w:type="textWrapping"/>
        <w:t xml:space="preserve">acquainted with any among them, might</w:t>
        <w:br w:type="textWrapping"/>
        <w:t xml:space="preserve">cause them here to use this word without</w:t>
        <w:br w:type="textWrapping"/>
        <w:t xml:space="preserve">any reference to Peter 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accompanied.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But what wonder, if the reports of such</w:t>
        <w:br w:type="textWrapping"/>
        <w:t xml:space="preserve">a day of anxiety and confusion were themselves disjointed and confused?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word rendered fools is more properly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without understanding: —slow</w:t>
        <w:br w:type="textWrapping"/>
        <w:t xml:space="preserve">of heart,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i. e. sluggish—in disposition—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believe: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these were both shewn in their not having apprehended, from the fulfilment of the sufferings and death of Christ, the sequel of that death, the resurrection.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26. to have suffered . . . and to</w:t>
        <w:br w:type="textWrapping"/>
        <w:t xml:space="preserve">have entered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sufferings were the</w:t>
        <w:br w:type="textWrapping"/>
        <w:t xml:space="preserve">appointed way by which Christ should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enter into His glory. It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entering into His glory,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suffering,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about which they wanted 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rsuading.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belongs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.</w:t>
        <w:br w:type="textWrapping"/>
        <w:t xml:space="preserve">following clauses. A similar expression is</w:t>
        <w:br w:type="textWrapping"/>
        <w:t xml:space="preserve">found Acts iii. 24. He began with Moses</w:t>
        <w:br w:type="textWrapping"/>
        <w:t xml:space="preserve">first ;—He began with each as He came to</w:t>
        <w:br w:type="textWrapping"/>
        <w:t xml:space="preserve">them.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things concerning himself.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 Wette remarks, “It were much to</w:t>
        <w:br w:type="textWrapping"/>
        <w:t xml:space="preserve">be wished that we knew what prophecies of the death and triumph of Christ.</w:t>
        <w:br w:type="textWrapping"/>
        <w:t xml:space="preserve">are here meant. There are but few that</w:t>
        <w:br w:type="textWrapping"/>
        <w:t xml:space="preserve">point to the subject.” But I take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things concerning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mean something very different from mere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prophetical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passages.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 Scriptures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testimony to Him: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whole history of</w:t>
        <w:br w:type="textWrapping"/>
        <w:t xml:space="preserve">the chosen people, with its types, its</w:t>
        <w:br w:type="textWrapping"/>
        <w:t xml:space="preserve">law, and its prophecies,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shewing forth</w:t>
        <w:br w:type="textWrapping"/>
        <w:t xml:space="preserve">Him 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 scriptures,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—that He laid out before</w:t>
        <w:br w:type="textWrapping"/>
        <w:t xml:space="preserve">them. This general leading into the meaning of the whole,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a whole,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fulfilled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Him, would be much more opportune to</w:t>
        <w:br w:type="textWrapping"/>
        <w:t xml:space="preserve">the place, and time occupied, than a direct</w:t>
        <w:br w:type="textWrapping"/>
        <w:t xml:space="preserve">exposition of selected passages.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things concerning himself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right: not, ‘the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concerning Him.’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Observe the testimony which this verse gives</w:t>
        <w:br w:type="textWrapping"/>
        <w:t xml:space="preserve">to the divine authority, and the Christian</w:t>
        <w:br w:type="textWrapping"/>
        <w:t xml:space="preserve">interpretation of the Old Testament</w:t>
        <w:br w:type="textWrapping"/>
        <w:t xml:space="preserve">Scriptures: so that the denial of the references to Christ’s death and glory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O.T. is henceforth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nothing less than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denial of His own teaching.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 they constrained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is not</w:t>
        <w:br w:type="textWrapping"/>
        <w:t xml:space="preserve">implied that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any thing to indicate that He would go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rther—but</w:t>
        <w:br w:type="textWrapping"/>
        <w:t xml:space="preserve">simply, that He was passing on. “Our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/VlfdZmiEx80UCyYN37GCSDbBA==">CgMxLjA4AHIhMUVPellTbVNPT0NKaTl6YnlBLXhkNkxySTNBa2xlODFf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