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other Simon would not be thus named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 ; see ch. v. 8 ff.) is</w:t>
        <w:br w:type="textWrapping"/>
        <w:t xml:space="preserve">only hinted at here—but is asserted again,</w:t>
        <w:br w:type="textWrapping"/>
        <w:t xml:space="preserve">1 Cor. xv. 5, in immediate connexion with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which here follows. It is not clear</w:t>
        <w:br w:type="textWrapping"/>
        <w:t xml:space="preserve">whether it took place before or after that</w:t>
        <w:br w:type="textWrapping"/>
        <w:t xml:space="preserve">on the way to Emmaus.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travellers, distinguis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others—not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 they also,’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thus we should</w:t>
        <w:br w:type="textWrapping"/>
        <w:t xml:space="preserve">leave the clause without a copula.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known of them in his brea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That this should have been so, does not</w:t>
        <w:br w:type="textWrapping"/>
        <w:t xml:space="preserve">exclude the supernatural opening of their</w:t>
        <w:br w:type="textWrapping"/>
        <w:t xml:space="preserve">eyes: see above, on ver. 31.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36—49.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APPEARANCE OF JESUS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xvi.14. John xx.</w:t>
        <w:br w:type="textWrapping"/>
        <w:t xml:space="preserve">19—23. The identity of these appearances</w:t>
        <w:br w:type="textWrapping"/>
        <w:t xml:space="preserve">need hardly be insisted on. On St. Mark’s</w:t>
        <w:br w:type="textWrapping"/>
        <w:t xml:space="preserve">narrative,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notes there. That of St.</w:t>
        <w:br w:type="textWrapping"/>
        <w:t xml:space="preserve">John presents no difficulties, on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had not 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of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uke. The particulars related by him are</w:t>
        <w:br w:type="textWrapping"/>
        <w:t xml:space="preserve">mostly additional, but not altogether so.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stood in the midst of them—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while they were speaking of these things,</w:t>
        <w:br w:type="textWrapping"/>
        <w:t xml:space="preserve">—possibly not entirely crediting the account, as seems hinted at in Mark xvi.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Lord appeared, the doors being shut,</w:t>
        <w:br w:type="textWrapping"/>
        <w:t xml:space="preserve">in the midst (John xx. 19 and notes).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be unto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ordinary</w:t>
        <w:br w:type="textWrapping"/>
        <w:t xml:space="preserve">Jewish salutation, see ch. x. 5, but of more</w:t>
        <w:br w:type="textWrapping"/>
        <w:t xml:space="preserve">than ordinary meaning in the mouth of</w:t>
        <w:br w:type="textWrapping"/>
        <w:t xml:space="preserve">the Lord: sec John xiv. 27.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 of His sudden appea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nce,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likeness to one whom they knew to</w:t>
        <w:br w:type="textWrapping"/>
        <w:t xml:space="preserve">have been dead.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spirit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 appearance of the dead to</w:t>
        <w:br w:type="textWrapping"/>
        <w:t xml:space="preserve">the living; not exactly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phantasm,”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xiv. 26, which might have been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supernatural kind.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‘thoughts,’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reasonings, questionings.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be some doubt whether the reference to His hands and feet were on account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marks of the nails,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prove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 as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uncovered</w:t>
        <w:br w:type="textWrapping"/>
        <w:t xml:space="preserve">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body, and to prove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corp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oreity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views seem supported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text,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 think both were united.</w:t>
        <w:br w:type="textWrapping"/>
        <w:t xml:space="preserve">The sight of the Hands and Feet, which</w:t>
        <w:br w:type="textWrapping"/>
        <w:t xml:space="preserve">they recognized as His, might at once</w:t>
        <w:br w:type="textWrapping"/>
        <w:t xml:space="preserve">convince them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appearance, and the identity of the Person.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 of St. John confirms the idea that</w:t>
        <w:br w:type="textWrapping"/>
        <w:t xml:space="preserve">He showed them the marks of the nails,</w:t>
        <w:br w:type="textWrapping"/>
        <w:t xml:space="preserve">both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added, and by the</w:t>
        <w:br w:type="textWrapping"/>
        <w:t xml:space="preserve">expressions of Thomas which followed.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seems also implied in our ver. 40.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assertion of the Lord must not</w:t>
        <w:br w:type="textWrapping"/>
        <w:t xml:space="preserve">be taken as representing merely ‘the popular notion concerning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(Dr. Burton)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is the Truth, does not speak thus</w:t>
        <w:br w:type="textWrapping"/>
        <w:t xml:space="preserve">of that which He knows, and has created.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declares to us the truth, that those appearances to which He was now likened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disciples, and spirits in general, have</w:t>
        <w:br w:type="textWrapping"/>
        <w:t xml:space="preserve">not flesh and bones. Observe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 and</w:t>
        <w:br w:type="textWrapping"/>
        <w:t xml:space="preserve">bones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the resurrection Body probably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being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 life :—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 on John vi. 51,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yE+KkAJC8zmNGBbH9Fg04tFk7A==">CgMxLjA4AHIhMTVITG5TT2JQME5uelUxUzFTRkF0SnEyZGd0N0ZzYlow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