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have concluded from the wording of John</w:t>
        <w:br w:type="textWrapping"/>
        <w:t xml:space="preserve">vi. 62, that our Lord must have intended</w:t>
        <w:br w:type="textWrapping"/>
        <w:t xml:space="preserve">an ascension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sight of some of those</w:t>
        <w:br w:type="textWrapping"/>
        <w:t xml:space="preserve">to whom He spoke,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that the Evangelist</w:t>
        <w:br w:type="textWrapping"/>
        <w:t xml:space="preserve">himself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gives that hint, by recording those</w:t>
        <w:br w:type="textWrapping"/>
        <w:t xml:space="preserve">words without comment, that he had seen</w:t>
        <w:br w:type="textWrapping"/>
        <w:t xml:space="preserve">it?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Then again, is there any thing</w:t>
        <w:br w:type="textWrapping"/>
        <w:t xml:space="preserve">in the bodily state of our Lord after His</w:t>
        <w:br w:type="textWrapping"/>
        <w:t xml:space="preserve">Resurrection, which raises any even the</w:t>
        <w:br w:type="textWrapping"/>
        <w:t xml:space="preserve">least, difficulty here? He appeared suddenly, and vanished suddenly, when 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leased :—when it pleased Him, He ate,</w:t>
        <w:br w:type="textWrapping"/>
        <w:t xml:space="preserve">He spoke, He walked; but his Body was</w:t>
        <w:br w:type="textWrapping"/>
        <w:t xml:space="preserve">the Body of the Resurrection ;—only not</w:t>
        <w:br w:type="textWrapping"/>
        <w:t xml:space="preserve">yet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Body of Glory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(Phil. iii. 21),</w:t>
        <w:br w:type="textWrapping"/>
        <w:t xml:space="preserve">because He had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yet assumed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ory: but that 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could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assume it, and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id assume it at his Ascension, will be</w:t>
        <w:br w:type="textWrapping"/>
        <w:t xml:space="preserve">granted by all who believe in Him as the</w:t>
        <w:br w:type="textWrapping"/>
        <w:t xml:space="preserve">Son of God. So that it seems, on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à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prior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grounds,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probable that,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granted the fact</w:t>
        <w:br w:type="textWrapping"/>
        <w:t xml:space="preserve">of the Ascension,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did take place in some</w:t>
        <w:br w:type="textWrapping"/>
        <w:t xml:space="preserve">such manner as our accounts relate :—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the sight of the disciples, and by the uplifting of the risen Body of the Lord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towards that which is to those on this</w:t>
        <w:br w:type="textWrapping"/>
        <w:t xml:space="preserve">earth the visible heaven.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being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let us now, secondly, regard the matter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à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posteriori.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 possess two accounts of</w:t>
        <w:br w:type="textWrapping"/>
        <w:t xml:space="preserve">the circumstances of this Ascension, written</w:t>
        <w:br w:type="textWrapping"/>
        <w:t xml:space="preserve">by the same person, and that person a contemporary of the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les themselves.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genuineness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these accounts there</w:t>
        <w:br w:type="textWrapping"/>
        <w:t xml:space="preserve">never was a doubt. How improbable that,</w:t>
        <w:br w:type="textWrapping"/>
        <w:t xml:space="preserve">St. Luke should have related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what any</w:t>
        <w:br w:type="textWrapping"/>
        <w:t xml:space="preserve">Apostles, or apostolic persons might ha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</w:t>
        <w:br w:type="textWrapping"/>
        <w:t xml:space="preserve">contradicted?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How improbable that the</w:t>
        <w:br w:type="textWrapping"/>
        <w:t xml:space="preserve">universal Church, founded by those who</w:t>
        <w:br w:type="textWrapping"/>
        <w:t xml:space="preserve">are said to have been eye-witnesses of this</w:t>
        <w:br w:type="textWrapping"/>
        <w:t xml:space="preserve">event, should have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received these too ac-</w:t>
        <w:br w:type="textWrapping"/>
        <w:t xml:space="preserve">counts as authentic, if they were not so?</w:t>
        <w:br w:type="textWrapping"/>
        <w:t xml:space="preserve">That these accounts themselves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never</w:t>
        <w:br w:type="textWrapping"/>
        <w:t xml:space="preserve">referred to in the Epistles, is surely no</w:t>
        <w:br w:type="textWrapping"/>
        <w:t xml:space="preserve">argument against them. If an occasion</w:t>
        <w:br w:type="textWrapping"/>
        <w:t xml:space="preserve">had arisen, such as necessitated the writing</w:t>
        <w:br w:type="textWrapping"/>
        <w:t xml:space="preserve">of 1 Cor. xv., there can be little doubt that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t. Paul would have been as particular in</w:t>
        <w:br w:type="textWrapping"/>
        <w:t xml:space="preserve">the circumstances of the Ascension, as he</w:t>
        <w:br w:type="textWrapping"/>
        <w:t xml:space="preserve">has been in those of the Resurrection. The</w:t>
        <w:br w:type="textWrapping"/>
        <w:t xml:space="preserve">fact is, that by far the greatest difficulty</w:t>
        <w:br w:type="textWrapping"/>
        <w:t xml:space="preserve">remains to be solved by those who can</w:t>
        <w:br w:type="textWrapping"/>
        <w:t xml:space="preserve">imagine a myth or fiction on this subject</w:t>
        <w:br w:type="textWrapping"/>
        <w:t xml:space="preserve">to have arisen in the first age of the</w:t>
        <w:br w:type="textWrapping"/>
        <w:t xml:space="preserve">Church. Such a supposition is not more</w:t>
        <w:br w:type="textWrapping"/>
        <w:t xml:space="preserve">repugnant to our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Christian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faith and</w:t>
        <w:br w:type="textWrapping"/>
        <w:t xml:space="preserve">reverence, than it is to common sense and</w:t>
        <w:br w:type="textWrapping"/>
        <w:t xml:space="preserve">historical consistency.</w:t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DxeO5YoC7pR9L+CnezweO1nULA==">CgMxLjA4AHIhMVR2bWRGb3kyVjZQODlCdDVOS0hVQ1R0eUlBbzFncTRW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