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xxiv. 17, we can hardly fail to see that</w:t>
        <w:br w:type="textWrapping"/>
        <w:t xml:space="preserve">there is some confusion in the records of</w:t>
        <w:br w:type="textWrapping"/>
        <w:t xml:space="preserve">Josiah’s family. In the latter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passage,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 we have “his father’s brother,” the</w:t>
        <w:br w:type="textWrapping"/>
        <w:t xml:space="preserve">LXX render “his son.”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Jechonias .. .. Salathiel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also the genealogy</w:t>
        <w:br w:type="textWrapping"/>
        <w:t xml:space="preserve">in 1 Chron. iii. 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therefore, it is</w:t>
        <w:br w:type="textWrapping"/>
        <w:t xml:space="preserve">denounced (Jer. xxii. 30) that Jechoniah</w:t>
        <w:br w:type="textWrapping"/>
        <w:t xml:space="preserve">should be ‘childless,’ this word must be</w:t>
        <w:br w:type="textWrapping"/>
        <w:t xml:space="preserve">understood as explained by the rest of the</w:t>
        <w:br w:type="textWrapping"/>
        <w:t xml:space="preserve">verse, ‘for no man of his seed shall prosper,</w:t>
        <w:br w:type="textWrapping"/>
        <w:t xml:space="preserve">sitting upon the throne of David and ruling</w:t>
        <w:br w:type="textWrapping"/>
        <w:t xml:space="preserve">any more in Judah.’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Salathiel ... </w:t>
        <w:br w:type="textWrapping"/>
        <w:t xml:space="preserve">Zorobabel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no difficulty here</w:t>
        <w:br w:type="textWrapping"/>
        <w:t xml:space="preserve">which does not also exist in the O. T.</w:t>
        <w:br w:type="textWrapping"/>
        <w:t xml:space="preserve">Zer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bbabel is there usually called the son</w:t>
        <w:br w:type="textWrapping"/>
        <w:t xml:space="preserve">of Shealtiel (Salathiel). Ezra iii. 2,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Neh. xii. 1, &amp;c. Hag. i.1,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1 Chron.</w:t>
        <w:br w:type="textWrapping"/>
        <w:t xml:space="preserve">iii, 19, Zer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bbabel is said to have been</w:t>
        <w:br w:type="textWrapping"/>
        <w:t xml:space="preserve">the son of Pedaiah, brother of Salathiel.</w:t>
        <w:br w:type="textWrapping"/>
        <w:t xml:space="preserve">Either this may have been a different Zerubbabel, or Salathiel may, according to the</w:t>
        <w:br w:type="textWrapping"/>
        <w:t xml:space="preserve">law, have raised up seed to his brother.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Zoroba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 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Abiud</w:t>
        <w:br w:type="textWrapping"/>
        <w:t xml:space="preserve">is not mentioned as a son of the Zerubbabel in 1 Chron. iii—Lord A. Hervey,</w:t>
        <w:br w:type="textWrapping"/>
        <w:t xml:space="preserve">On the Genealogies of our Lord, p. 122 ff.,</w:t>
        <w:br w:type="textWrapping"/>
        <w:t xml:space="preserve">has made it probable that Abiud is identical with the Hodaiah of 1 Chron. iii. 24,</w:t>
        <w:br w:type="textWrapping"/>
        <w:t xml:space="preserve">and the Juda of Luke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</w:t>
        <w:br w:type="textWrapping"/>
        <w:t xml:space="preserve">comparison of this genealogy with that</w:t>
        <w:br w:type="textWrapping"/>
        <w:t xml:space="preserve">given in Luke, see notes, Luke iii.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-38.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fourteen ge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erations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carefully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 Matthew’s arrangement,</w:t>
        <w:br w:type="textWrapping"/>
        <w:t xml:space="preserve">we shall have no difficulty in completing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three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fourteens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For the first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Abraham to David, of course inclusive. The second from David (again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lusive)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which gives</w:t>
        <w:br w:type="textWrapping"/>
        <w:t xml:space="preserve">no name, as before, to be included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second and third periods, but which is</w:t>
        <w:br w:type="textWrapping"/>
        <w:t xml:space="preserve">mentioned simultaneously with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beget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 of Jechonias, leaving him for the third</w:t>
        <w:br w:type="textWrapping"/>
        <w:t xml:space="preserve">period. This last, then, takes in from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Jechonias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inclusive. So</w:t>
        <w:br w:type="textWrapping"/>
        <w:t xml:space="preserve">that the three stand thus, according to</w:t>
        <w:br w:type="textWrapping"/>
        <w:t xml:space="preserve">the words of this verse: (1) from Abraham</w:t>
        <w:br w:type="textWrapping"/>
        <w:t xml:space="preserve">to David. (2) From David to the 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to Babylon, i.e. about the time when</w:t>
        <w:br w:type="textWrapping"/>
        <w:t xml:space="preserve">Josiah begat Jechonias.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From the migration (i.e. from Jechonias) to Christ.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 OF HIS BIRTH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espoused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betrothed. The</w:t>
        <w:br w:type="textWrapping"/>
        <w:t xml:space="preserve">interval between betrothal and the consummation of marriage was sometimes</w:t>
        <w:br w:type="textWrapping"/>
        <w:t xml:space="preserve">considerable, during which the betrothed</w:t>
        <w:br w:type="textWrapping"/>
        <w:t xml:space="preserve">remained in her father’s house, till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ridegroom came and fetched her. See</w:t>
        <w:br w:type="textWrapping"/>
        <w:t xml:space="preserve">Deut. xx.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together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living together in one</w:t>
        <w:br w:type="textWrapping"/>
        <w:t xml:space="preserve">house as man and wife. Chrysostom well</w:t>
        <w:br w:type="textWrapping"/>
        <w:t xml:space="preserve">suggests, that the conception was not</w:t>
        <w:br w:type="textWrapping"/>
        <w:t xml:space="preserve">allowed to take place before the betrothal,</w:t>
        <w:br w:type="textWrapping"/>
        <w:t xml:space="preserve">both that the matter might take place more</w:t>
        <w:br w:type="textWrapping"/>
        <w:t xml:space="preserve">in privacy, and that the Blessed Virgin</w:t>
        <w:br w:type="textWrapping"/>
        <w:t xml:space="preserve">might escape slanderous suspicion.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found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merely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some</w:t>
        <w:br w:type="textWrapping"/>
        <w:t xml:space="preserve">have said, but in its proper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 was discovered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 matter by</w:t>
        <w:br w:type="textWrapping"/>
        <w:t xml:space="preserve">whom. The words “of (by) the Holy</w:t>
        <w:br w:type="textWrapping"/>
        <w:t xml:space="preserve">Ghost,” are the addition of the Evangelist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declaring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matter of fact, and do not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FrGA0KuWYNE71Uk3UvoRczWCkA==">AMUW2mV+vl/6iuf2T7NFDZup6VjPOcVbul5JNm4mYEQajaTaZrQYKD2tsW0e80GM26T1oArSe4I4ZfmDgcBtQ46nuaGcPo7D44uJi59atSRfGgNAnMGugSQ=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