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near the sea of Galilee, Josh. xix. 15. The</w:t>
        <w:br w:type="textWrapping"/>
        <w:t xml:space="preserve">name Bethlehem-Judah is used, Judges xvii.</w:t>
        <w:br w:type="textWrapping"/>
        <w:t xml:space="preserve">7, 8, 9: 1 Sam. xvii. 12. Another name</w:t>
        <w:br w:type="textWrapping"/>
        <w:t xml:space="preserve">for our Bethlehem was Ephrath; Gen.</w:t>
        <w:br w:type="textWrapping"/>
        <w:t xml:space="preserve">xxxv. 19; xlviii. 7; or Ephrata, Micah v. 2.</w:t>
        <w:br w:type="textWrapping"/>
        <w:t xml:space="preserve">It was six Roman miles to the south of</w:t>
        <w:br w:type="textWrapping"/>
        <w:t xml:space="preserve">Jerusalem, and was known as ‘the cit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David,’ the origin of his family, Rut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i. 1, 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ys of Herod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HEROD THE 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son of Antipater, 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Idumæan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an Arabian mother, made</w:t>
        <w:br w:type="textWrapping"/>
        <w:t xml:space="preserve">king of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on occasion of his having</w:t>
        <w:br w:type="textWrapping"/>
        <w:t xml:space="preserve">fled to Rome, being driven from his tetrarchy by the pretender Antigonus.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title was confirmed to him after the battle</w:t>
        <w:br w:type="textWrapping"/>
        <w:t xml:space="preserve">of Actium by Octavianus. He sought to</w:t>
        <w:br w:type="textWrapping"/>
        <w:t xml:space="preserve">strengthen his throne by a series of cruelties and slaughters, putting to death even</w:t>
        <w:br w:type="textWrapping"/>
        <w:t xml:space="preserve">his wife Mariamne, and his sons Alexander</w:t>
        <w:br w:type="textWrapping"/>
        <w:t xml:space="preserve">and Aristobulus. His cruelties, and his</w:t>
        <w:br w:type="textWrapping"/>
        <w:t xml:space="preserve">affectation of Gentile customs, gained for</w:t>
        <w:br w:type="textWrapping"/>
        <w:t xml:space="preserve">him a hatred among the Jews, which</w:t>
        <w:br w:type="textWrapping"/>
        <w:t xml:space="preserve">neither his magnificent rebuilding of the</w:t>
        <w:br w:type="textWrapping"/>
        <w:t xml:space="preserve">temple, nor his liberality in other public</w:t>
        <w:br w:type="textWrapping"/>
        <w:t xml:space="preserve">works, nor his provident care of the people</w:t>
        <w:br w:type="textWrapping"/>
        <w:t xml:space="preserve">during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severe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famine, could mitigate.</w:t>
        <w:br w:type="textWrapping"/>
        <w:t xml:space="preserve">He died miserably, five days after he had</w:t>
        <w:br w:type="textWrapping"/>
        <w:t xml:space="preserve">put to death his son Antipater, in the</w:t>
        <w:br w:type="textWrapping"/>
        <w:t xml:space="preserve">seventieth year of his age, the thirty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eighth of his reign, and the 750th year of</w:t>
        <w:br w:type="textWrapping"/>
        <w:t xml:space="preserve">Rome. The events here related took place</w:t>
        <w:br w:type="textWrapping"/>
        <w:t xml:space="preserve">a short time before his death, but necessarily more than forty days; for he spent</w:t>
        <w:br w:type="textWrapping"/>
        <w:t xml:space="preserve">the last forty days of his life at Jericho</w:t>
        <w:br w:type="textWrapping"/>
        <w:t xml:space="preserve">and the baths of Callirrhoe, and therefore</w:t>
        <w:br w:type="textWrapping"/>
        <w:t xml:space="preserve">would not be found by the magi at Jerusalem. The history of Herod’s reign is</w:t>
        <w:br w:type="textWrapping"/>
        <w:t xml:space="preserve">contained in Josephus, Antt. books xiv.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xvii.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would be useless to detail all</w:t>
        <w:br w:type="textWrapping"/>
        <w:t xml:space="preserve">the conjectures to which this history has</w:t>
        <w:br w:type="textWrapping"/>
        <w:t xml:space="preserve">given rise. From what has been written</w:t>
        <w:br w:type="textWrapping"/>
        <w:t xml:space="preserve">on the subject it 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appear,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(1) That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mean either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Arabia, Persia,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Chald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or Parthia, with the provinces</w:t>
        <w:br w:type="textWrapping"/>
        <w:t xml:space="preserve">adjacent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Isa. xli. 2;</w:t>
        <w:br w:type="textWrapping"/>
        <w:t xml:space="preserve">xlvi. 11: Num. xxiii. 7. Philo speaks of</w:t>
        <w:br w:type="textWrapping"/>
        <w:t xml:space="preserve">“the Eastern nations and their leaders</w:t>
        <w:br w:type="textWrapping"/>
        <w:t xml:space="preserve">the Parthians.” In all these countries</w:t>
        <w:br w:type="textWrapping"/>
        <w:t xml:space="preserve">there were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magi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at least persons who in</w:t>
        <w:br w:type="textWrapping"/>
        <w:t xml:space="preserve">the wider sense of the word were now</w:t>
        <w:br w:type="textWrapping"/>
        <w:t xml:space="preserve">known by the name. The words in ver. 2</w:t>
        <w:br w:type="textWrapping"/>
        <w:t xml:space="preserve">seem to point to some land not very near</w:t>
        <w:br w:type="textWrapping"/>
        <w:t xml:space="preserve">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 as also the result of Herod’s enquiry as to the date, shewn in “two</w:t>
        <w:br w:type="textWrapping"/>
        <w:t xml:space="preserve">years old.” (2) If we place together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prophecy in Num. xxiv. 17, which</w:t>
        <w:br w:type="textWrapping"/>
        <w:t xml:space="preserve">could hardly be unknown to the Eastern</w:t>
        <w:br w:type="textWrapping"/>
        <w:t xml:space="preserve">astrologers,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assertion of</w:t>
        <w:br w:type="textWrapping"/>
        <w:t xml:space="preserve">Suetonius “that there prevailed an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cient and consistent opinion in all the</w:t>
        <w:br w:type="textWrapping"/>
        <w:t xml:space="preserve">East, that it was fated that at that time</w:t>
        <w:br w:type="textWrapping"/>
        <w:t xml:space="preserve">those should go forth from Judæa who</w:t>
        <w:br w:type="textWrapping"/>
        <w:t xml:space="preserve">should rule the empire:”—and of Tacitus,</w:t>
        <w:br w:type="textWrapping"/>
        <w:t xml:space="preserve">to the same effect and nearly in the same</w:t>
        <w:br w:type="textWrapping"/>
        <w:t xml:space="preserve">words,—and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the prophecy, also likely</w:t>
        <w:br w:type="textWrapping"/>
        <w:t xml:space="preserve">to be known in the East, of the seventy</w:t>
        <w:br w:type="textWrapping"/>
        <w:t xml:space="preserve">weeks in Daniel ix. 24;—we can, I think,</w:t>
        <w:br w:type="textWrapping"/>
        <w:t xml:space="preserve">be at no loss to understand how any remarkable celestial appearance at this time</w:t>
        <w:br w:type="textWrapping"/>
        <w:t xml:space="preserve">should have been interpreted as it was.</w:t>
        <w:br w:type="textWrapping"/>
        <w:t xml:space="preserve">(3) There is no ground for supposing the</w:t>
        <w:br w:type="textWrapping"/>
        <w:t xml:space="preserve">magi to have been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three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number (as</w:t>
        <w:br w:type="textWrapping"/>
        <w:t xml:space="preserve">first, apparently, by Leo the Great, A.D.</w:t>
        <w:br w:type="textWrapping"/>
        <w:t xml:space="preserve">450); or to have been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tradition appears to have arisen from the</w:t>
        <w:br w:type="textWrapping"/>
        <w:t xml:space="preserve">number of their gifts: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from</w:t>
        <w:br w:type="textWrapping"/>
        <w:t xml:space="preserve">the prophecy in Isa. lx. 3. Tertullian</w:t>
        <w:br w:type="textWrapping"/>
        <w:t xml:space="preserve">seems to deduce it from the similar prophecy in Ps. lxxii. 10, for, he says, the</w:t>
        <w:br w:type="textWrapping"/>
        <w:t xml:space="preserve">Magi were most commonly kings in the</w:t>
        <w:br w:type="textWrapping"/>
        <w:t xml:space="preserve">East.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his star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There is a question, whether this expression of the magi,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have seen his star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points to any</w:t>
        <w:br w:type="textWrapping"/>
        <w:t xml:space="preserve">miraculous appearance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to something</w:t>
        <w:br w:type="textWrapping"/>
        <w:t xml:space="preserve">observed in the course of their watching</w:t>
        <w:br w:type="textWrapping"/>
        <w:t xml:space="preserve">the heavens.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 know the magi to have</w:t>
        <w:br w:type="textWrapping"/>
        <w:t xml:space="preserve">been devoted to astrology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and on comparing the language of our text with this</w:t>
        <w:br w:type="textWrapping"/>
        <w:t xml:space="preserve">undoubted fact, I confess that it appears</w:t>
        <w:br w:type="textWrapping"/>
        <w:t xml:space="preserve">to me the most ingenuous way, fairly to</w:t>
        <w:br w:type="textWrapping"/>
        <w:t xml:space="preserve">take account of that fact in our exegesis,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to shelter ourselves from an apparent difficulty by the hypothesis of a miracle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Wherever supernatural agency</w:t>
        <w:br w:type="textWrapping"/>
        <w:t xml:space="preserve">is asserted, or may be reasonably inferred,</w:t>
        <w:br w:type="textWrapping"/>
        <w:t xml:space="preserve">I shall ever be found foremost to insist on</w:t>
        <w:br w:type="textWrapping"/>
        <w:t xml:space="preserve">its recognition, and impugn every device</w:t>
        <w:br w:type="textWrapping"/>
        <w:t xml:space="preserve">of rationalism or semi-rationalism; but it</w:t>
        <w:br w:type="textWrapping"/>
        <w:t xml:space="preserve">does not therefore follow that I should</w:t>
        <w:br w:type="textWrapping"/>
        <w:t xml:space="preserve">consent to attempts, however well meant,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introduce miraculous interference where</w:t>
        <w:br w:type="textWrapping"/>
        <w:t xml:space="preserve">it does not appear to be borne out by the</w:t>
        <w:br w:type="textWrapping"/>
        <w:t xml:space="preserve">narrative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principle on which this</w:t>
        <w:br w:type="textWrapping"/>
        <w:t xml:space="preserve">commentary is conducted, is that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honestly endeavouring to ascertain the</w:t>
        <w:br w:type="textWrapping"/>
        <w:t xml:space="preserve">sense of the sacred text, without regard</w:t>
        <w:br w:type="textWrapping"/>
        <w:t xml:space="preserve">to any preconceived systems, and fearless</w:t>
        <w:br w:type="textWrapping"/>
        <w:t xml:space="preserve">of any possible consequences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And if the</w:t>
        <w:br w:type="textWrapping"/>
        <w:t xml:space="preserve">scientific or historical researches of others</w:t>
        <w:br w:type="textWrapping"/>
        <w:t xml:space="preserve">seem to contribute to this, my readers will</w:t>
        <w:br w:type="textWrapping"/>
        <w:t xml:space="preserve">find them, as far as they have fallen within</w:t>
        <w:br w:type="textWrapping"/>
        <w:t xml:space="preserve">my observation, made use of for that purpose. It seems to me that the preliminary</w:t>
        <w:br w:type="textWrapping"/>
        <w:t xml:space="preserve">question for us is, Have we here in the</w:t>
        <w:br w:type="textWrapping"/>
        <w:t xml:space="preserve">sacred text a miracle, or have we some</w:t>
        <w:br w:type="textWrapping"/>
        <w:t xml:space="preserve">natural appearancé which God in His</w:t>
        <w:br w:type="textWrapping"/>
        <w:t xml:space="preserve">Providence used as a means of indicating</w:t>
        <w:br w:type="textWrapping"/>
        <w:t xml:space="preserve">to the magi the birth of His Son?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TTF4XG4zDOu9RdeK+l65W5sWFA==">AMUW2mUm6b4jZs9n8ljdkjdqGHP9D334euFReMIyTVex5LWxLKa+6fBEAymIieQp5AouU2QOJ67ltIXcbk46fIJynRytdNXzYJtABAWIgmDjYjV6J8CvHtM=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