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wrath to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reference</w:t>
        <w:br w:type="textWrapping"/>
        <w:t xml:space="preserve">of John’s ministry to prophecy concerning Elias,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iii. 1;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v. 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(Mark i. 2),</w:t>
        <w:br w:type="textWrapping"/>
        <w:t xml:space="preserve">would naturally suggest to men’s minds</w:t>
        <w:br w:type="textWrapping"/>
        <w:t xml:space="preserve">‘the wrath to come’ there also foretold.</w:t>
        <w:br w:type="textWrapping"/>
        <w:t xml:space="preserve">It was the general expectation of the</w:t>
        <w:br w:type="textWrapping"/>
        <w:t xml:space="preserve">Jews that troublous times would accompa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appearance of the Messiah.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ohn is now speaking in the true character of a prophet,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foretelling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wrath</w:t>
        <w:br w:type="textWrapping"/>
        <w:t xml:space="preserve">soon to be poured on the Jewish nation.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expresses an inference from</w:t>
        <w:br w:type="textWrapping"/>
        <w:t xml:space="preserve">their apparent intention of fleeing from</w:t>
        <w:br w:type="textWrapping"/>
        <w:t xml:space="preserve">the wrath to come: q.d. ‘if you are</w:t>
        <w:br w:type="textWrapping"/>
        <w:t xml:space="preserve">really so minded,’. .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 think not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Not merely equivalent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say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</w:t>
        <w:br w:type="textWrapping"/>
        <w:t xml:space="preserve">but,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 not fancy you may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&amp;c. The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say within 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simi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expressions in Scripture (e.g. Ps. x.</w:t>
        <w:br w:type="textWrapping"/>
        <w:t xml:space="preserve">6, 11; xiv.1: Eccl. i. 16; ii. 15, al. fr.), is</w:t>
        <w:br w:type="textWrapping"/>
        <w:t xml:space="preserve">used to signify the act by which outward</w:t>
        <w:br w:type="textWrapping"/>
        <w:t xml:space="preserve">circumstances are turned into thoughts</w:t>
        <w:br w:type="textWrapping"/>
        <w:t xml:space="preserve">of the mind.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these stones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bbles or shingle on the beach of the</w:t>
        <w:br w:type="textWrapping"/>
        <w:t xml:space="preserve">Jordan. He possibly referred to Isa. li.</w:t>
        <w:br w:type="textWrapping"/>
        <w:t xml:space="preserve">1, 2. This also is prophetic, of the admission of the Gentile church. See Rom.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iv. 16: Gal iii. 29. Or we may take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interpretation which Chrysostom prefers,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also referring to Isa. li. 1, 2: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Think not</w:t>
        <w:br w:type="textWrapping"/>
        <w:t xml:space="preserve">that your perishing will leave Abraham</w:t>
        <w:br w:type="textWrapping"/>
        <w:t xml:space="preserve">without children: for God is able to</w:t>
        <w:br w:type="textWrapping"/>
        <w:t xml:space="preserve">raise him up children even from stones, as</w:t>
        <w:br w:type="textWrapping"/>
        <w:t xml:space="preserve">He created man out of dust at the begin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ing,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tenses,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laid,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cut down,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imply the law, or habit,</w:t>
        <w:br w:type="textWrapping"/>
        <w:t xml:space="preserve">which now and henceforward, in the</w:t>
        <w:br w:type="textWrapping"/>
        <w:t xml:space="preserve">kingdom of heaven prevails: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this</w:t>
        <w:br w:type="textWrapping"/>
        <w:t xml:space="preserve">time 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ll. whose shoes,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</w:t>
        <w:br w:type="textWrapping"/>
        <w:t xml:space="preserve">Lightfoot shews that it was the token</w:t>
        <w:br w:type="textWrapping"/>
        <w:t xml:space="preserve">of a slave having become his master’s property,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loose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shoe,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same,</w:t>
        <w:br w:type="textWrapping"/>
        <w:t xml:space="preserve">or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carry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necessary articles for him</w:t>
        <w:br w:type="textWrapping"/>
        <w:t xml:space="preserve">to the bath. The expressions therefore in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all the Gospels amount to the same.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the Holy Ghost, and with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</w:t>
        <w:br w:type="textWrapping"/>
        <w:t xml:space="preserve">was literally falfilled at the day of Pentecost: but Origen and others refer the</w:t>
        <w:br w:type="textWrapping"/>
        <w:t xml:space="preserve">words to the baptism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righteous by</w:t>
        <w:br w:type="textWrapping"/>
        <w:t xml:space="preserve">the Holy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 wicked by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I have no doubt that this this is a mistake in</w:t>
        <w:br w:type="textWrapping"/>
        <w:t xml:space="preserve">the present case, though apparently (to</w:t>
        <w:br w:type="textWrapping"/>
        <w:t xml:space="preserve">the superficial reader) borne out by ver. 12.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double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symbolic reference of fire, elsewhere found, e.g. Mark ix. 50, as purifying the good and consuming the evil,</w:t>
        <w:br w:type="textWrapping"/>
        <w:t xml:space="preserve">though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illustrated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by these verses, is</w:t>
        <w:br w:type="textWrapping"/>
        <w:t xml:space="preserve">hardly to be pressed into the interpretation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this verse, the prophecy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being solely of that higher and more</w:t>
        <w:br w:type="textWrapping"/>
        <w:t xml:space="preserve">perfect baptism to which that of John was</w:t>
        <w:br w:type="textWrapping"/>
        <w:t xml:space="preserve">a mere introduction. To separate off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 the Holy Ghost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as belonging to one</w:t>
        <w:br w:type="textWrapping"/>
        <w:t xml:space="preserve">set of persons, and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with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as belonging</w:t>
        <w:br w:type="textWrapping"/>
        <w:t xml:space="preserve">to another, when both are united in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you,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is in the last degree harsh, besides introducing confusion into the whole. The</w:t>
        <w:br w:type="textWrapping"/>
        <w:t xml:space="preserve">members of comparison in this verse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strictly parallel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one another: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baptism by water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end of which is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repentance,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 mere transition state, a note</w:t>
        <w:br w:type="textWrapping"/>
        <w:t xml:space="preserve">of preparation,—and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baptism by the</w:t>
        <w:br w:type="textWrapping"/>
        <w:t xml:space="preserve">Holy Ghost and fire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end of which is</w:t>
        <w:br w:type="textWrapping"/>
        <w:t xml:space="preserve">(ver. 12)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sanctification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the entire aim</w:t>
        <w:br w:type="textWrapping"/>
        <w:t xml:space="preserve">and purpose of man’s creation and renewal. Thus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official superiority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</w:t>
        <w:br w:type="textWrapping"/>
        <w:t xml:space="preserve">the Redeemer (which is all that our Evangelist here deals with) is fully brought out. The superiority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nature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pre-existence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reserved for the fuller and more</w:t>
        <w:br w:type="textWrapping"/>
        <w:t xml:space="preserve">dogmatic account in John i.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 whose fan,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&amp;c.] In the Rabbinical work</w:t>
        <w:br w:type="textWrapping"/>
        <w:t xml:space="preserve">Midrash Tehillim, on Ps. ii., the same</w:t>
        <w:br w:type="textWrapping"/>
        <w:t xml:space="preserve">figure is found: “The winnowing is at</w:t>
        <w:br w:type="textWrapping"/>
        <w:t xml:space="preserve">hand: they throw the straw into the fire,</w:t>
        <w:br w:type="textWrapping"/>
        <w:t xml:space="preserve">the chaff to the wind, but preserve the</w:t>
        <w:br w:type="textWrapping"/>
        <w:t xml:space="preserve">wheat in the floor; so the nations of the</w:t>
        <w:br w:type="textWrapping"/>
        <w:t xml:space="preserve">world shall be the conflagration of 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oWH3KaPcFTzduUC6jY124pyonQ==">AMUW2mWEoZ2ZTaoP/0bVvxITQ4T6dhpGJwDHFnoJuep0GTRqkwFbjNH9E5dG4OEh28IimVPFHESnb99PJ2Bakn/6/7iMfm2AGqC7NkIImxlKzByX3acjJMI=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