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ot come for that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 yet, now,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are we</w:t>
        <w:br w:type="textWrapping"/>
        <w:t xml:space="preserve">is another relation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(viz. our Lord as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fulfiller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law, John as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minister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</w:t>
        <w:br w:type="textWrapping"/>
        <w:t xml:space="preserve">it),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therefore suffer 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“This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is</w:t>
        <w:br w:type="textWrapping"/>
        <w:t xml:space="preserve">spoken from the Lord’s foreknowledge,</w:t>
        <w:br w:type="textWrapping"/>
        <w:t xml:space="preserve">that this relation of subjection to John</w:t>
        <w:br w:type="textWrapping"/>
        <w:t xml:space="preserve">was only temporary, that hereafter</w:t>
        <w:br w:type="textWrapping"/>
        <w:t xml:space="preserve">their relative situations would be 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verted.” Meyer. Stier remarks that now</w:t>
        <w:br w:type="textWrapping"/>
        <w:t xml:space="preserve">was fulfilled the prophetic announcement</w:t>
        <w:br w:type="textWrapping"/>
        <w:t xml:space="preserve">of Ps. xl. 7, 8.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not for me, but for me and thee. I cannot help thinking</w:t>
        <w:br w:type="textWrapping"/>
        <w:t xml:space="preserve">that this word glances at the relationship</w:t>
        <w:br w:type="textWrapping"/>
        <w:t xml:space="preserve">and previous acknowledged destinations of</w:t>
        <w:br w:type="textWrapping"/>
        <w:t xml:space="preserve">the speakers. It has however a wider</w:t>
        <w:br w:type="textWrapping"/>
        <w:t xml:space="preserve">sense, as spoken by Him who is now first</w:t>
        <w:br w:type="textWrapping"/>
        <w:t xml:space="preserve">coming forth officially as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Son of Man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  <w:t xml:space="preserve">extending over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all those whose baptism</w:t>
        <w:br w:type="textWrapping"/>
        <w:t xml:space="preserve">plants them in his likeness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Rom. vi.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righteousness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requirements of the law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  <w:br w:type="textWrapping"/>
        <w:t xml:space="preserve">See ch. vi. 1, where the sense is general,</w:t>
        <w:br w:type="textWrapping"/>
        <w:t xml:space="preserve">as here.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16. baptised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On this account I would make the following remarks.</w:t>
        <w:br w:type="textWrapping"/>
        <w:t xml:space="preserve">(1) The appearance and voice seem to have</w:t>
        <w:br w:type="textWrapping"/>
        <w:t xml:space="preserve">been manifested 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our Lord and the Baptist only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They may have been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alone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at the time: or, if not, we have an instance in Acts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ix. 7, of such an appearance being confined to one person, while the others present were</w:t>
        <w:br w:type="textWrapping"/>
        <w:t xml:space="preserve">unconscious of it. We can hardly however,</w:t>
        <w:br w:type="textWrapping"/>
        <w:t xml:space="preserve">with some of the Fathers, say, that it</w:t>
        <w:br w:type="textWrapping"/>
        <w:t xml:space="preserve">was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 spiritual beholding,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— or that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appearance was a vision, not reality.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  <w:br w:type="textWrapping"/>
        <w:t xml:space="preserve">(2) The Holy Spirit descended not only in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manner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 a dove, but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 bodily shape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(|| Luke): which I cannot understand in</w:t>
        <w:br w:type="textWrapping"/>
        <w:t xml:space="preserve">any but the literal sense, as THE BODILY</w:t>
        <w:br w:type="textWrapping"/>
        <w:t xml:space="preserve">SHAPE OF A DOVE, seen by the Baptist.</w:t>
        <w:br w:type="textWrapping"/>
        <w:t xml:space="preserve">There can be no objection to this, the</w:t>
        <w:br w:type="textWrapping"/>
        <w:t xml:space="preserve">straightforward interpretation of the narrative, which does not equally apply to</w:t>
        <w:br w:type="textWrapping"/>
        <w:t xml:space="preserve">the Holy Spirit being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visible at all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which</w:t>
        <w:br w:type="textWrapping"/>
        <w:t xml:space="preserve">John himself asserts Him to have been</w:t>
        <w:br w:type="textWrapping"/>
        <w:t xml:space="preserve">(John i. 32—34), even more expressly</w:t>
        <w:br w:type="textWrapping"/>
        <w:t xml:space="preserve">than is asserted here. Why the Creator</w:t>
        <w:br w:type="textWrapping"/>
        <w:t xml:space="preserve">Spirit may not have assumed an organized</w:t>
        <w:br w:type="textWrapping"/>
        <w:t xml:space="preserve">body bearing symbolical meaning, as well</w:t>
        <w:br w:type="textWrapping"/>
        <w:t xml:space="preserve">as any other material form, does not seem</w:t>
        <w:br w:type="textWrapping"/>
        <w:t xml:space="preserve">clear. This was the ancient, and is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only honest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interpretation. All the modern explanations of the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like a dove,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as importing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manner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 coming down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belong to the vain rationalistic attempt to</w:t>
        <w:br w:type="textWrapping"/>
        <w:t xml:space="preserve">reduce down that which is miraculous. The</w:t>
        <w:br w:type="textWrapping"/>
        <w:t xml:space="preserve">express assertion of St. Luke, and the fact</w:t>
        <w:br w:type="textWrapping"/>
        <w:t xml:space="preserve">that all four Evangelists have used the</w:t>
        <w:br w:type="textWrapping"/>
        <w:t xml:space="preserve">same expression, which they would not</w:t>
        <w:br w:type="textWrapping"/>
        <w:t xml:space="preserve">have done if it were a mere medium of comparison, are surely a sufficient refutation of</w:t>
        <w:br w:type="textWrapping"/>
        <w:t xml:space="preserve">this rationalizing (and, I may add, blundering) interpretat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ion.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Two</w:t>
        <w:br w:type="textWrapping"/>
        <w:t xml:space="preserve">circumstances ma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y be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noticed respecting the manner of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descent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Spirit:it was,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dove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Spirit as manifested in our</w:t>
        <w:br w:type="textWrapping"/>
        <w:t xml:space="preserve">Lord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gentle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benign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This was not</w:t>
        <w:br w:type="textWrapping"/>
        <w:t xml:space="preserve">a sudden and temporary descent of the</w:t>
        <w:br w:type="textWrapping"/>
        <w:t xml:space="preserve">Spirit, but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permanent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though special</w:t>
        <w:br w:type="textWrapping"/>
        <w:t xml:space="preserve">anointing of the Saviour for his holy office.</w:t>
        <w:br w:type="textWrapping"/>
        <w:t xml:space="preserve">It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abode upon Him,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John 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2. And</w:t>
        <w:br w:type="textWrapping"/>
        <w:t xml:space="preserve">from this moment His ministry and mediatorial work (in the active official sense)</w:t>
        <w:br w:type="textWrapping"/>
        <w:t xml:space="preserve">begins. Immediately, the Spirit carries</w:t>
        <w:br w:type="textWrapping"/>
        <w:t xml:space="preserve">Him away to the wilderness: the day of</w:t>
        <w:br w:type="textWrapping"/>
        <w:t xml:space="preserve">His return thence (possibly; but see notes</w:t>
        <w:br w:type="textWrapping"/>
        <w:t xml:space="preserve">on John i. 29) John points Him out as the</w:t>
        <w:br w:type="textWrapping"/>
        <w:t xml:space="preserve">Lamb of God: then follows the calling of</w:t>
        <w:br w:type="textWrapping"/>
        <w:t xml:space="preserve">Andrew, Peter, Philip, and Nathanael, and</w:t>
        <w:br w:type="textWrapping"/>
        <w:t xml:space="preserve">the third day after is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first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miracle at</w:t>
        <w:br w:type="textWrapping"/>
        <w:t xml:space="preserve">the marriage in Cana. But we must not</w:t>
        <w:br w:type="textWrapping"/>
        <w:t xml:space="preserve">imagine any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change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 nature or person</w:t>
        <w:br w:type="textWrapping"/>
        <w:t xml:space="preserve">of our Lord to have taken place at his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baptism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anointing and crowning are but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signs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official assumption of the power</w:t>
        <w:br w:type="textWrapping"/>
        <w:t xml:space="preserve">which the king has by a right independent</w:t>
        <w:br w:type="textWrapping"/>
        <w:t xml:space="preserve">of, and higher than these. (4) The whole</w:t>
        <w:br w:type="textWrapping"/>
        <w:t xml:space="preserve">narrative is in remarkable parallelism with</w:t>
        <w:br w:type="textWrapping"/>
        <w:t xml:space="preserve">that of the Transfiguration. There we have</w:t>
        <w:br w:type="textWrapping"/>
        <w:t xml:space="preserve">our Lord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supernaturally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glorified in the</w:t>
        <w:br w:type="textWrapping"/>
        <w:t xml:space="preserve">presence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two great prophetic personages,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oses and Elias, who speak of His decease,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 the journey to which He forthwith</w:t>
        <w:br w:type="textWrapping"/>
        <w:t xml:space="preserve">sets out (ch. xvii. 22, compared with xix.</w:t>
        <w:br w:type="textWrapping"/>
        <w:t xml:space="preserve">1); and accompanied by the same testimony of the voice from heaven, uttering</w:t>
        <w:br w:type="textWrapping"/>
        <w:t xml:space="preserve">the same words, with an addition accordant</w:t>
        <w:br w:type="textWrapping"/>
        <w:t xml:space="preserve">with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truth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then symbolized. (5) In</w:t>
        <w:br w:type="textWrapping"/>
        <w:t xml:space="preserve">connexion with apocryphal additions, the</w:t>
        <w:br w:type="textWrapping"/>
        <w:t xml:space="preserve">following are not without interest: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When</w:t>
        <w:br w:type="textWrapping"/>
        <w:t xml:space="preserve">Jesus had gone down to the water, a flame</w:t>
        <w:br w:type="textWrapping"/>
        <w:t xml:space="preserve">was lit up in the Jordan: and when He</w:t>
        <w:br w:type="textWrapping"/>
        <w:t xml:space="preserve">had come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 from the water,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o, the</w:t>
        <w:br w:type="textWrapping"/>
        <w:t xml:space="preserve">heavens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&amp;c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See also, my Greek Test.</w:t>
        <w:br w:type="textWrapping"/>
        <w:t xml:space="preserve">on this passage.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opc1TcaLYQquK14IZlnE1skoGEw==">AMUW2mUV3btGBHQ7JbXjrGFUJMdDzmsaAmBcTTMaCLVnDFToRAsu38AFtiyGqAjIg5hgR5vlyRfY93ViLMU0zM0V+tmQHGXpSUkGiB4QaLX8aiwkZdFHvhY=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