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suggest the illustration, which would be</w:t>
        <w:br w:type="textWrapping"/>
        <w:t xml:space="preserve">more striking from the fact, that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situation of cities on the tops of the hills</w:t>
        <w:br w:type="textWrapping"/>
        <w:t xml:space="preserve">is as rare in Galilee, as it is common in</w:t>
        <w:br w:type="textWrapping"/>
        <w:t xml:space="preserve">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æa.’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Stanley, as above. But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on a hill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(Isa.</w:t>
        <w:br w:type="textWrapping"/>
        <w:t xml:space="preserve">ii. 2: Gal. iv. 26: see also Heb. xii. 22),</w:t>
        <w:br w:type="textWrapping"/>
        <w:t xml:space="preserve">in allusion to their present situation,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mountain, is most probably leading</w:t>
        <w:br w:type="textWrapping"/>
        <w:t xml:space="preserve">thought.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do men 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they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shewing, in the spiritual reference of the parable, that these lights of</w:t>
        <w:br w:type="textWrapping"/>
        <w:t xml:space="preserve">the world are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by Him for whose</w:t>
        <w:br w:type="textWrapping"/>
        <w:t xml:space="preserve">use they are. See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 a candle on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candlestick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—like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city on a hill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merely,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  <w:br w:type="textWrapping"/>
        <w:t xml:space="preserve">that,’ as our English version seems rather</w:t>
        <w:br w:type="textWrapping"/>
        <w:t xml:space="preserve">to imply. By rendering in like manner, the ambiguity will be avoided. The</w:t>
        <w:br w:type="textWrapping"/>
        <w:t xml:space="preserve">sense of this verse is as if it were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that,</w:t>
        <w:br w:type="textWrapping"/>
        <w:t xml:space="preserve">seeing your good works they may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. . 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verb, and not the former,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carrying the purpose of the action. 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praise and glory of a well-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lighted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brillant feast would be given, not to the</w:t>
        <w:br w:type="textWrapping"/>
        <w:t xml:space="preserve">lights, but to the master of the house;</w:t>
        <w:br w:type="textWrapping"/>
        <w:t xml:space="preserve">and of a stately city on a hill, not to the</w:t>
        <w:br w:type="textWrapping"/>
        <w:t xml:space="preserve">buildings, but to those who built them.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whole of this division of our</w:t>
        <w:br w:type="textWrapping"/>
        <w:t xml:space="preserve">Lord’s sermon is addressed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His followers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exclusively to the ministers of</w:t>
        <w:br w:type="textWrapping"/>
        <w:t xml:space="preserve">his word. All servants of Christ are the</w:t>
        <w:br w:type="textWrapping"/>
        <w:t xml:space="preserve">salt of the earth, the light of the world</w:t>
        <w:br w:type="textWrapping"/>
        <w:t xml:space="preserve">(Phil.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And all that is here said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lies to us all.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fortiori does it apply</w:t>
        <w:br w:type="textWrapping"/>
        <w:t xml:space="preserve">in its highest sense, to those who are, among</w:t>
        <w:br w:type="textWrapping"/>
        <w:t xml:space="preserve">Christians, selected to teach and be examples; who are as it were the towers and</w:t>
        <w:br w:type="textWrapping"/>
        <w:t xml:space="preserve">pinnacles of the city, not only not hid, but</w:t>
        <w:br w:type="textWrapping"/>
        <w:t xml:space="preserve">seen far and wide above the rest.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OND PART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which our Lord sets forth His</w:t>
        <w:br w:type="textWrapping"/>
        <w:t xml:space="preserve">relation, as a lawgiver, to the law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  <w:t xml:space="preserve">Moses, especially as currently interpreted</w:t>
        <w:br w:type="textWrapping"/>
        <w:t xml:space="preserve">according to the letter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 I am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more properly,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Observe how our Lord, through the whole</w:t>
        <w:br w:type="textWrapping"/>
        <w:t xml:space="preserve">sermon, sets forth Himself, in his proceeding forth from God, as truly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 was to come.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law, or the 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is a question whether our Lord</w:t>
        <w:br w:type="textWrapping"/>
        <w:t xml:space="preserve">includes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prophecies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properly so called,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His meaning here. I think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no</w:t>
        <w:br w:type="textWrapping"/>
        <w:t xml:space="preserve">person professing himself to be the Messiah</w:t>
        <w:br w:type="textWrapping"/>
        <w:t xml:space="preserve">would be thought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contradict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prophecies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fulfil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Neither, it</w:t>
        <w:br w:type="textWrapping"/>
        <w:t xml:space="preserve">appears, does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allude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law, but to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moral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parts of both the law and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hets;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indeed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particularize. If however we</w:t>
        <w:br w:type="textWrapping"/>
        <w:t xml:space="preserve">prefer to include both ceremonial and</w:t>
        <w:br w:type="textWrapping"/>
        <w:t xml:space="preserve">moral in this assertion, we may understand it in its more general sense, as applying, beyond the instances here given,</w:t>
        <w:br w:type="textWrapping"/>
        <w:t xml:space="preserve">to His typical fulfilment of the law, which</w:t>
        <w:br w:type="textWrapping"/>
        <w:t xml:space="preserve">could not as yet be unfolded.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ful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verb implies more than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fulfillin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has the 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filling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expanding: i.e. here, giving a</w:t>
        <w:br w:type="textWrapping"/>
        <w:t xml:space="preserve">deeper and holier sense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fulfilling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is nobler than the letter. Theoph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ylact compares the ancient law to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sketch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 painter does not wipe</w:t>
        <w:br w:type="textWrapping"/>
        <w:t xml:space="preserve">out, but fills in. The gnostic Marcion characteristically enough maintained that the</w:t>
        <w:br w:type="textWrapping"/>
        <w:t xml:space="preserve">Judaizing Christians had altered this verse,</w:t>
        <w:br w:type="textWrapping"/>
        <w:t xml:space="preserve">and that it originally stood,—think ye that I</w:t>
        <w:br w:type="textWrapping"/>
        <w:t xml:space="preserve">came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&amp;c.? I came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verily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St. Luke, ix. 27;</w:t>
        <w:br w:type="textWrapping"/>
        <w:t xml:space="preserve">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44; xxi.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jot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ota)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Hebrew</w:t>
        <w:br w:type="textWrapping"/>
        <w:t xml:space="preserve">Jod, the smallest letter in the alphabet: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tittles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horn-like projections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the little turns of the strokes by which</w:t>
        <w:br w:type="textWrapping"/>
        <w:t xml:space="preserve">one Hebrew letter differs from another similar to it. The Rabbinical writings have many</w:t>
        <w:br w:type="textWrapping"/>
        <w:t xml:space="preserve">sayings similar in sentiment to this, but</w:t>
        <w:br w:type="textWrapping"/>
        <w:t xml:space="preserve">spoken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written law.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mportan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to observe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</w:t>
        <w:br w:type="textWrapping"/>
        <w:t xml:space="preserve">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includes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O.T. and all</w:t>
        <w:br w:type="textWrapping"/>
        <w:t xml:space="preserve">its unfolding of 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divine purposes 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garding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Himself, in His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itizens of the kingdom of heaven. I</w:t>
        <w:br w:type="textWrapping"/>
        <w:t xml:space="preserve">say this, because it is always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contempt</w:t>
        <w:br w:type="textWrapping"/>
        <w:t xml:space="preserve">and setting aside of the O.T.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rationalism has begun. First,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 historical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theocratic 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connected with</w:t>
        <w:br w:type="textWrapping"/>
        <w:t xml:space="preserve">it, are swept away; so that Christ came to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 nothing, and becomes only a teacher</w:t>
        <w:br w:type="textWrapping"/>
        <w:t xml:space="preserve">or a martyr: and thus the way is paved</w:t>
        <w:br w:type="textWrapping"/>
        <w:t xml:space="preserve">for a similar rejection of the N.T.;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beginning with the narratives of the birth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vqd8GFCxe5zJvggk94fZ/qPaFA==">AMUW2mXjlpOlP61niz7F8UiW5cEQpY3yjieoKXfxn/XettKdMOIamwGH0sNXsz22qWXR5m+8rQrqWE0XTOHJowq2Qunp+EeM3gHKCUArFJ/dDoKX3rrLdtY=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