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Galilæan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miracle (see ch. iii. 2, and ver. 45).</w:t>
        <w:br w:type="textWrapping"/>
        <w:t xml:space="preserve">But (1) how is that expressed in the words?</w:t>
        <w:br w:type="textWrapping"/>
        <w:t xml:space="preserve">The miracles which He did at Jerusalem</w:t>
        <w:br w:type="textWrapping"/>
        <w:t xml:space="preserve">in the feast being omitted, the words naturally carry the thoughts back to a former one related; and the clause added (“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when</w:t>
        <w:br w:type="textWrapping"/>
        <w:t xml:space="preserve">He was come out of Judea into Galilee”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  <w:br w:type="textWrapping"/>
        <w:t xml:space="preserve">shews, not that a miracle prior to this,</w:t>
        <w:br w:type="textWrapping"/>
        <w:t xml:space="preserve">during this return visit, has been passed</w:t>
        <w:br w:type="textWrapping"/>
        <w:t xml:space="preserve">over,—but that as the scene of this second</w:t>
        <w:br w:type="textWrapping"/>
        <w:t xml:space="preserve">was in Galilee, so that former one, to which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second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refers, must be sought in Galilee also. And then (2)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should this so particularly be stated? Certainly, it seems</w:t>
        <w:br w:type="textWrapping"/>
        <w:t xml:space="preserve">to me, on account of the part which this</w:t>
        <w:br w:type="textWrapping"/>
        <w:t xml:space="preserve">miracle bore in the calling ont and assuring of faith by the manifestation of</w:t>
        <w:br w:type="textWrapping"/>
        <w:t xml:space="preserve">His glory, as that first one had done before. By that (ch. ii. 11), His disciples</w:t>
        <w:br w:type="textWrapping"/>
        <w:t xml:space="preserve">had been convinced: by this, one (himself a type of the weak and unworthy in</w:t>
        <w:br w:type="textWrapping"/>
        <w:t xml:space="preserve">faith) outside the circle of His own. By</w:t>
        <w:br w:type="textWrapping"/>
        <w:t xml:space="preserve">both, half-belief was strengthened into</w:t>
        <w:br w:type="textWrapping"/>
        <w:t xml:space="preserve">faith in Him: but in each case it is of a</w:t>
        <w:br w:type="textWrapping"/>
        <w:t xml:space="preserve">different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It is an interesting</w:t>
        <w:br w:type="textWrapping"/>
        <w:t xml:space="preserve">question, whether or not this miracle be</w:t>
        <w:br w:type="textWrapping"/>
        <w:t xml:space="preserve">the same as the healing of the centurion’s</w:t>
        <w:br w:type="textWrapping"/>
        <w:t xml:space="preserve">servant (or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Matthew?) in Matt. viii.</w:t>
        <w:br w:type="textWrapping"/>
        <w:t xml:space="preserve">5: Luke vii. 1. Ireneus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appears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 hold</w:t>
        <w:br w:type="textWrapping"/>
        <w:t xml:space="preserve">the two narratives to be the same history</w:t>
        <w:br w:type="textWrapping"/>
        <w:t xml:space="preserve">(appears only; for his words are, “He</w:t>
        <w:br w:type="textWrapping"/>
        <w:t xml:space="preserve">healed the centurion’s servant when absent, saying, ‘Go thy way, thy son liveth:’”</w:t>
        <w:br w:type="textWrapping"/>
        <w:t xml:space="preserve">which remark may be simply explained by</w:t>
        <w:br w:type="textWrapping"/>
        <w:t xml:space="preserve">his having cited from memory, and thus</w:t>
        <w:br w:type="textWrapping"/>
        <w:t xml:space="preserve">either made this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nobleman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 centurion,—</w:t>
        <w:br w:type="textWrapping"/>
        <w:t xml:space="preserve">or, which is more probable, having understood the word in Matt. viii. to signify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made our Lord there speak very</w:t>
        <w:br w:type="textWrapping"/>
        <w:t xml:space="preserve">similar words to those really uttered by</w:t>
        <w:br w:type="textWrapping"/>
        <w:t xml:space="preserve">Him, but which are in reality found here) :</w:t>
        <w:br w:type="textWrapping"/>
        <w:t xml:space="preserve">so Eusebius also in his canons. Chrysostom</w:t>
        <w:br w:type="textWrapping"/>
        <w:t xml:space="preserve">notices, but opposes the view :—and it has</w:t>
        <w:br w:type="textWrapping"/>
        <w:t xml:space="preserve">never in modern times gained many advocates, being chiefly held by the interpreters</w:t>
        <w:br w:type="textWrapping"/>
        <w:t xml:space="preserve">of the Straussian school. Indeed, the internal evidence is all against it : not only</w:t>
        <w:br w:type="textWrapping"/>
        <w:t xml:space="preserve">(Chrys)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station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 also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the nature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  <w:t xml:space="preserve">of his faith,” does the man in one case differ from the man in the other. The inner kernel of the history is, in our case here,—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elevation of a weak and mere wonder-seeking faith into a deep conviction of the personal power and love of our Lord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in</w:t>
        <w:br w:type="textWrapping"/>
        <w:t xml:space="preserve">the other, the commendation of a noble</w:t>
        <w:br w:type="textWrapping"/>
        <w:t xml:space="preserve">confession of our Lord’s divine power, indicating great strength and grasp of faith,and inducing the greatest personal humility. And the external point brought out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commendation there,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have not</w:t>
        <w:br w:type="textWrapping"/>
        <w:t xml:space="preserve">seen such faith, no, not in Israel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is not</w:t>
        <w:br w:type="textWrapping"/>
        <w:t xml:space="preserve">only different from, but stands in absolute</w:t>
        <w:br w:type="textWrapping"/>
        <w:t xml:space="preserve">contrast with, the depreciating charge</w:t>
        <w:br w:type="textWrapping"/>
        <w:t xml:space="preserve">here,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Except ye see signs and wonders, ye will not believe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Olshausen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well remarks, that this narrative may be</w:t>
        <w:br w:type="textWrapping"/>
        <w:t xml:space="preserve">regarded as a sequel to the foregoing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one.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V.—XII.]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Second great division</w:t>
        <w:br w:type="textWrapping"/>
        <w:t xml:space="preserve">of the Gospel.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JESUS IN CONFLICT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WITH THE 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Jews.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 VI. JESUS  THE LIFE.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Beginning of the conflict.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V. 1—47.]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Healing of a cripple at the</w:t>
        <w:br w:type="textWrapping"/>
        <w:t xml:space="preserve">pool of Bethesda, during a feast ; and the</w:t>
        <w:br w:type="textWrapping"/>
        <w:t xml:space="preserve">discourse of Jesus occasioned by the persecution of the Jews arising thereupon.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After these things]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Lücke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remarks that</w:t>
        <w:br w:type="textWrapping"/>
        <w:t xml:space="preserve">when John wishes to indicate immediate</w:t>
        <w:br w:type="textWrapping"/>
        <w:t xml:space="preserve">succession, he uses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 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(or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”), ch. ii. 12; xi. 7, 11; xix. 28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when mediate, after an interval,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</w:t>
        <w:br w:type="textWrapping"/>
        <w:t xml:space="preserve">these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ch. iii. 22; v.14; vi.1; vii.</w:t>
        <w:br w:type="textWrapping"/>
        <w:t xml:space="preserve">1; xix. 38. So that apart from other considerations which would lead us to the same conclusion, we may infer that some</w:t>
        <w:br w:type="textWrapping"/>
        <w:t xml:space="preserve">interval has elapsed since the last verse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h. iv.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feast of the Jews]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Few</w:t>
        <w:br w:type="textWrapping"/>
        <w:t xml:space="preserve">points have been more controverted, than</w:t>
        <w:br w:type="textWrapping"/>
        <w:t xml:space="preserve">the question,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 this feast 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will</w:t>
        <w:br w:type="textWrapping"/>
        <w:t xml:space="preserve">give the principal views, and then state</w:t>
        <w:br w:type="textWrapping"/>
        <w:t xml:space="preserve">my own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lusion. (1) Iren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eus understands it to be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second Passover of our</w:t>
        <w:br w:type="textWrapping"/>
        <w:t xml:space="preserve">Lord’s ministry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Origen (whose commentary on this chapter is lost) mentions this</w:t>
        <w:br w:type="textWrapping"/>
        <w:t xml:space="preserve">view, but apparently does not approve it.</w:t>
        <w:br w:type="textWrapping"/>
        <w:t xml:space="preserve">This is the view of Luther, Grotius, Lightfoot, and others. (2) Cyril of Alexandria,</w:t>
        <w:br w:type="textWrapping"/>
        <w:t xml:space="preserve">Chrysostom, and others think it to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Pentecost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opinion prevailed in the</w:t>
        <w:br w:type="textWrapping"/>
        <w:t xml:space="preserve">Greek Church; and has found many defenders in modern times. (3) Kepler first</w:t>
        <w:br w:type="textWrapping"/>
        <w:t xml:space="preserve">suggested the idea that it might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feast of Purim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sth. ix. 21, 26,) almost</w:t>
        <w:br w:type="textWrapping"/>
        <w:t xml:space="preserve">immediately preceding the Passover (the</w:t>
        <w:br w:type="textWrapping"/>
        <w:t xml:space="preserve">14th and 15th of Adar). This has been</w:t>
        <w:br w:type="textWrapping"/>
        <w:t xml:space="preserve">the general view of the modern chronologists. (4)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feast of Tabernacles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has</w:t>
        <w:br w:type="textWrapping"/>
        <w:t xml:space="preserve">been suggested by Co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ceius, and is supported by one of our MSS., but of late date.</w:t>
        <w:br w:type="textWrapping"/>
        <w:t xml:space="preserve">(5) Kepler and Petavius thought it also</w:t>
        <w:br w:type="textWrapping"/>
        <w:t xml:space="preserve">possible that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feast of Dedication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ch.</w:t>
        <w:br w:type="textWrapping"/>
        <w:t xml:space="preserve">x. 22) might be meant.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 that almost every Jewish feast finds some supporters.</w:t>
        <w:br w:type="textWrapping"/>
        <w:t xml:space="preserve">I believe, with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Lücke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De Wette, and</w:t>
        <w:br w:type="textWrapping"/>
        <w:t xml:space="preserve">Tholuck,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we cannot with any probability gather what feast it 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Seeing</w:t>
        <w:br w:type="textWrapping"/>
        <w:t xml:space="preserve">as I do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 distinct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datum given in ch. iv.</w:t>
        <w:br w:type="textWrapping"/>
        <w:t xml:space="preserve">35, nor again in ch. vi. 1, and finding 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EzG+neANW9It2ssGdwfcspiJDw==">CgMxLjA4AHIhMW9zOEpyU1NlWnRvTmJhclFFS0tpMnFCOUpkZjFyQW1V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