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sage: “From which general variety in the</w:t>
        <w:br w:type="textWrapping"/>
        <w:t xml:space="preserve">verbal narrative amidst agreement in the</w:t>
        <w:br w:type="textWrapping"/>
        <w:t xml:space="preserve">facts and sense, it is evident enough that</w:t>
        <w:br w:type="textWrapping"/>
        <w:t xml:space="preserve">we are wholesomely instructed that nothing</w:t>
        <w:br w:type="textWrapping"/>
        <w:t xml:space="preserve">js to be looked for in the words of Scripture but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general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purport of those who</w:t>
        <w:br w:type="textWrapping"/>
        <w:t xml:space="preserve">spoke: to display which purpose should be</w:t>
        <w:br w:type="textWrapping"/>
        <w:t xml:space="preserve">the watchful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of all truthful narrators,</w:t>
        <w:br w:type="textWrapping"/>
        <w:t xml:space="preserve">whether relating concerning man, or angel,</w:t>
        <w:br w:type="textWrapping"/>
        <w:t xml:space="preserve">or God Himself.” I repeat the remark so</w:t>
        <w:br w:type="textWrapping"/>
        <w:t xml:space="preserve">often made in this Commentary,—that if</w:t>
        <w:br w:type="textWrapping"/>
        <w:t xml:space="preserve">we were in possession of the facts as they</w:t>
        <w:br w:type="textWrapping"/>
        <w:t xml:space="preserve">happened, there is no doubt that the various forms of the literal narrations would</w:t>
        <w:br w:type="textWrapping"/>
        <w:t xml:space="preserve">fall into their places, and the truthfulness</w:t>
        <w:br w:type="textWrapping"/>
        <w:t xml:space="preserve">of each historian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would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 apparent:—but</w:t>
        <w:br w:type="textWrapping"/>
        <w:t xml:space="preserve">as we cannot at present reconcile them in</w:t>
        <w:br w:type="textWrapping"/>
        <w:t xml:space="preserve">this way, the humble and believing Christian will not be tempted to handle the word</w:t>
        <w:br w:type="textWrapping"/>
        <w:t xml:space="preserve">of God deceitfully, but to admire the gracious condescension which has given us the</w:t>
        <w:br w:type="textWrapping"/>
        <w:t xml:space="preserve">evidence of so many independent witnesses,</w:t>
        <w:br w:type="textWrapping"/>
        <w:t xml:space="preserve">whose very difference in detail makes their</w:t>
        <w:br w:type="textWrapping"/>
        <w:t xml:space="preserve">accordance in the great central truths so</w:t>
        <w:br w:type="textWrapping"/>
        <w:t xml:space="preserve">much the more weighty.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 every point of</w:t>
        <w:br w:type="textWrapping"/>
        <w:t xml:space="preserve">importance here, the four sacred historians</w:t>
        <w:br w:type="textWrapping"/>
        <w:t xml:space="preserve">are entirely and absolutely agreed.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</w:t>
        <w:br w:type="textWrapping"/>
        <w:t xml:space="preserve">every minor detail related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them had its</w:t>
        <w:br w:type="textWrapping"/>
        <w:t xml:space="preserve">ground in historical fact, we fully believe ;</w:t>
        <w:br w:type="textWrapping"/>
        <w:t xml:space="preserve">it 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tracking it to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ground in each</w:t>
        <w:br w:type="textWrapping"/>
        <w:t xml:space="preserve">case, which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now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beyond our power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and</w:t>
        <w:br w:type="textWrapping"/>
        <w:t xml:space="preserve">here comes in the simplicity and reliance</w:t>
        <w:br w:type="textWrapping"/>
        <w:t xml:space="preserve">of faith: and the justification of those who</w:t>
        <w:br w:type="textWrapping"/>
        <w:t xml:space="preserve">believe and receive each Gospel as they</w:t>
        <w:br w:type="textWrapping"/>
        <w:t xml:space="preserve">find it written.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unto Philip]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Why to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Philip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does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appear; perhaps some</w:t>
        <w:br w:type="textWrapping"/>
        <w:t xml:space="preserve">reason lay in the words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He said to</w:t>
        <w:br w:type="textWrapping"/>
        <w:t xml:space="preserve">prove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which is now lost to us. From</w:t>
        <w:br w:type="textWrapping"/>
        <w:t xml:space="preserve">his words in ch. xiv. 8, we cannot infer, as</w:t>
        <w:br w:type="textWrapping"/>
        <w:t xml:space="preserve">has been done by Cyril of Alexandria and</w:t>
        <w:br w:type="textWrapping"/>
        <w:t xml:space="preserve">others, that he was weaker in faith, or</w:t>
        <w:br w:type="textWrapping"/>
        <w:t xml:space="preserve">tardier in spiritual apprehension, than the</w:t>
        <w:br w:type="textWrapping"/>
        <w:t xml:space="preserve">rest. Of all the Apostles who appear in</w:t>
        <w:br w:type="textWrapping"/>
        <w:t xml:space="preserve">the sacred narrative, something might be</w:t>
        <w:br w:type="textWrapping"/>
        <w:t xml:space="preserve">quoted, shewing equal unreadiness to believe and understand. I would take the</w:t>
        <w:br w:type="textWrapping"/>
        <w:t xml:space="preserve">circumstance as simple matter of fact, implying perhaps that Philip was nearest to</w:t>
        <w:br w:type="textWrapping"/>
        <w:t xml:space="preserve">our Lord at the moment. We must not</w:t>
        <w:br w:type="textWrapping"/>
        <w:t xml:space="preserve">fall into the mistake of supposing that</w:t>
        <w:br w:type="textWrapping"/>
        <w:t xml:space="preserve">Philip being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Bethsaida the city of Andrew and Peter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(ch. i. 45) throws any light</w:t>
        <w:br w:type="textWrapping"/>
        <w:t xml:space="preserve">on the question: for the Bethsaida near</w:t>
        <w:br w:type="textWrapping"/>
        <w:t xml:space="preserve">which our Lord now was, Luke ix. 10, was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another place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see notes there.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—‘ from what store?’ Hence Philip’s answer.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6.] he knew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:—by this</w:t>
        <w:br w:type="textWrapping"/>
        <w:t xml:space="preserve">St. John must be understood not only to</w:t>
        <w:br w:type="textWrapping"/>
        <w:t xml:space="preserve">rescue our Lord from the imputation of</w:t>
        <w:br w:type="textWrapping"/>
        <w:t xml:space="preserve">asking counsel of Philip, but to refer the</w:t>
        <w:br w:type="textWrapping"/>
        <w:t xml:space="preserve">miraculous act, on His part, to His purpose</w:t>
        <w:br w:type="textWrapping"/>
        <w:t xml:space="preserve">of exhibiting Himself as the Son of Man</w:t>
        <w:br w:type="textWrapping"/>
        <w:t xml:space="preserve">the Life of the World in the flesh.</w:t>
        <w:br w:type="textWrapping"/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notes on Mark.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Meyer</w:t>
        <w:br w:type="textWrapping"/>
        <w:t xml:space="preserve">remarks, that 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one of His disciples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may seem strange, seeing that</w:t>
        <w:br w:type="textWrapping"/>
        <w:t xml:space="preserve">Philip also was this: but that it has its</w:t>
        <w:br w:type="textWrapping"/>
        <w:t xml:space="preserve">value in the narrative, seeing that, Philip,</w:t>
        <w:br w:type="textWrapping"/>
        <w:t xml:space="preserve">having been asked in vain, one from among</w:t>
        <w:br w:type="textWrapping"/>
        <w:t xml:space="preserve">the circle of the disciples answers, and is</w:t>
        <w:br w:type="textWrapping"/>
        <w:t xml:space="preserve">afterwards specified as having been Andrew.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three other Gospels,</w:t>
        <w:br w:type="textWrapping"/>
        <w:t xml:space="preserve">the loaves and fishes appear as the disciples’ own;—and we have thus a very</w:t>
        <w:br w:type="textWrapping"/>
        <w:t xml:space="preserve">simple but very instructive instance of</w:t>
        <w:br w:type="textWrapping"/>
        <w:t xml:space="preserve">the way in which differences in detail</w:t>
        <w:br w:type="textWrapping"/>
        <w:t xml:space="preserve">arose. They were their own,—but not</w:t>
        <w:br w:type="textWrapping"/>
        <w:t xml:space="preserve">till they had bought them.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9.] barley loaves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—this was the usual barley bread</w:t>
        <w:br w:type="textWrapping"/>
        <w:t xml:space="preserve">which formed the food of the lower orders.</w:t>
        <w:br w:type="textWrapping"/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10.] much grass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accordance with</w:t>
        <w:br w:type="textWrapping"/>
        <w:t xml:space="preserve">the time of year, the latter end of spring,</w:t>
        <w:br w:type="textWrapping"/>
        <w:t xml:space="preserve">after the rainy season.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men]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Before, when our Lord commanded, as in</w:t>
        <w:br w:type="textWrapping"/>
        <w:t xml:space="preserve">A. V.,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make the men sit down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it was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general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word, signifying both men and</w:t>
        <w:br w:type="textWrapping"/>
        <w:t xml:space="preserve">women indiscriminately. And I have therefore substituted in the margin,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people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u9aS/ZWWH3eEB2kCOrrZGppFNw==">CgMxLjA4AHIhMWptUUVYUGp3OC1IS1g1aHZVQlY5czZmSE1UOWt5QjY5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