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mentioned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Moses,—nor was the giving of</w:t>
        <w:br w:type="textWrapping"/>
        <w:t xml:space="preserve">the manna a miracle performed by Moses;—</w:t>
        <w:br w:type="textWrapping"/>
        <w:t xml:space="preserve">but He knew that the comparison between</w:t>
        <w:br w:type="textWrapping"/>
        <w:t xml:space="preserve">Moses and Himself was in their minds, and</w:t>
        <w:br w:type="textWrapping"/>
        <w:t xml:space="preserve">answers by exposing the error which represented Moses as the giver of the manna.</w:t>
        <w:br w:type="textWrapping"/>
        <w:t xml:space="preserve">Neither again was that the true bread</w:t>
        <w:br w:type="textWrapping"/>
        <w:t xml:space="preserve">from heaven. It was, in one sense, bread</w:t>
        <w:br w:type="textWrapping"/>
        <w:t xml:space="preserve">from heaven;—but not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sense. It</w:t>
        <w:br w:type="textWrapping"/>
        <w:t xml:space="preserve">was a type and shadow of the true bread</w:t>
        <w:br w:type="textWrapping"/>
        <w:t xml:space="preserve">from heaven,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my Father is giving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 perhaps the abstract present,—signifying that it is His office to give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Our Lord does not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asserts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miraculous character of the manna.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33.] the bread 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answers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bread which my Father giveth.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cometh down from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.... are the predicate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bread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apply, in the construction of</w:t>
        <w:br w:type="textWrapping"/>
        <w:t xml:space="preserve">this verse, to Christ personally,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however</w:t>
        <w:br w:type="textWrapping"/>
        <w:t xml:space="preserve">truly they apply to Him in fact. The</w:t>
        <w:br w:type="textWrapping"/>
        <w:t xml:space="preserve">A. V. is here wrong: it should be,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bread of God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  <w:br w:type="textWrapping"/>
        <w:t xml:space="preserve">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&amp;c.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till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35 does Jesus</w:t>
        <w:br w:type="textWrapping"/>
        <w:t xml:space="preserve">first say, ‘I AM the bread of life.’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manna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still kept in view, which ‘when</w:t>
        <w:br w:type="textWrapping"/>
        <w:t xml:space="preserve">the dew fell on the camp ....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fell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Greek word in the LXX is the same as</w:t>
        <w:br w:type="textWrapping"/>
        <w:t xml:space="preserve">here,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upon it,’ Num. xi. 9.</w:t>
        <w:br w:type="textWrapping"/>
        <w:t xml:space="preserve">And the present tense, here used in reference to the manna, is dropped when the</w:t>
        <w:br w:type="textWrapping"/>
        <w:t xml:space="preserve">Lord Himself is spoken of: see vv. 38, 41,</w:t>
        <w:br w:type="textWrapping"/>
        <w:t xml:space="preserve">58, and especially the distinction between</w:t>
        <w:br w:type="textWrapping"/>
        <w:t xml:space="preserve">ver. 50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51.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ch. iv. 15</w:t>
        <w:br w:type="textWrapping"/>
        <w:t xml:space="preserve">is exactly parallel. The Jews understand</w:t>
        <w:br w:type="textWrapping"/>
        <w:t xml:space="preserve">this bread, as the Samaritan woman understood the water, to be some miraculous</w:t>
        <w:br w:type="textWrapping"/>
        <w:t xml:space="preserve">kind of sustenance which would bestow</w:t>
        <w:br w:type="textWrapping"/>
        <w:t xml:space="preserve">life everlasting :—perhaps they thought of</w:t>
        <w:br w:type="textWrapping"/>
        <w:t xml:space="preserve">the heavenly manna, which the Rabbis</w:t>
        <w:br w:type="textWrapping"/>
        <w:t xml:space="preserve">speak of as prepared for the just in the</w:t>
        <w:br w:type="textWrapping"/>
        <w:t xml:space="preserve">future world ;—see Rev. ii. 17.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evermore]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emphatic :—not now only, but 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ch. v. 30, so here,</w:t>
        <w:br w:type="textWrapping"/>
        <w:t xml:space="preserve">our Lord passes from the indirect to the</w:t>
        <w:br w:type="textWrapping"/>
        <w:t xml:space="preserve">direct form of speech. Henceforward it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I,’ ‘Me,’ throughout the discourse.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genitive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implied,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came down from heaven and giveth life</w:t>
        <w:br w:type="textWrapping"/>
        <w:t xml:space="preserve">unto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ch.</w:t>
        <w:br w:type="textWrapping"/>
        <w:t xml:space="preserve">iv.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assurance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hungering or thirsting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at ch. iv. 14.</w:t>
        <w:br w:type="textWrapping"/>
        <w:t xml:space="preserve">It is possible that our Lord placed the all-satisfying bread of life in contrast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manna, which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sooner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Exod.</w:t>
        <w:br w:type="textWrapping"/>
        <w:t xml:space="preserve">xvi.,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people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began to thirst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Exod.</w:t>
        <w:br w:type="textWrapping"/>
        <w:t xml:space="preserve">xvii.;—but I would not lay any stress on</w:t>
        <w:br w:type="textWrapping"/>
        <w:t xml:space="preserve">this.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cometh to 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the</w:t>
        <w:br w:type="textWrapping"/>
        <w:t xml:space="preserve">same sense as in ch.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40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of acceptance of and faith in Him.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 I said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“When did He say this to</w:t>
        <w:br w:type="textWrapping"/>
        <w:t xml:space="preserve">them ? perhaps it was said, but has not been</w:t>
        <w:br w:type="textWrapping"/>
        <w:t xml:space="preserve">recorded.” Euthymius. But perhaps the</w:t>
        <w:br w:type="textWrapping"/>
        <w:t xml:space="preserve">reference may be to ch. v. 37—44,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 said generally. Stier</w:t>
        <w:br w:type="textWrapping"/>
        <w:t xml:space="preserve">and others think that ver. 26 is referred</w:t>
        <w:br w:type="textWrapping"/>
        <w:t xml:space="preserve">to: but this is far-fetched.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</w:t>
        <w:br w:type="textWrapping"/>
        <w:t xml:space="preserve">instances of reference to sayings not recorded, in ch. x. 26; xii. 34.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even seen]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‘Ye have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 the true</w:t>
        <w:br w:type="textWrapping"/>
        <w:t xml:space="preserve">Bread from heaven,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greater</w:t>
        <w:br w:type="textWrapping"/>
        <w:t xml:space="preserve">than the manna,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Me Myse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yet</w:t>
        <w:br w:type="textWrapping"/>
        <w:t xml:space="preserve">have not believed.’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</w:t>
        <w:br w:type="textWrapping"/>
        <w:t xml:space="preserve">body of believers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spoken of</w:t>
        <w:br w:type="textWrapping"/>
        <w:t xml:space="preserve">by Him, here and in ch. xvii,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given</w:t>
        <w:br w:type="textWrapping"/>
        <w:t xml:space="preserve">to Him by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Bengel’s observation is very important: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that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most significant expression, and,</w:t>
        <w:br w:type="textWrapping"/>
        <w:t xml:space="preserve">compared with what follows, most worthy</w:t>
        <w:br w:type="textWrapping"/>
        <w:t xml:space="preserve">of consideration. For in our Lord’s discourses, that, which the Father hath given Him, is spoken of in the singular number</w:t>
        <w:br w:type="textWrapping"/>
        <w:t xml:space="preserve">and neuter gender,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whereas they who come to Him, the Son,</w:t>
        <w:br w:type="textWrapping"/>
        <w:t xml:space="preserve">are spoken of in the masculine gender, and</w:t>
        <w:br w:type="textWrapping"/>
        <w:t xml:space="preserve">sometimes also in the plural number: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Father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KSB82hSlQW6uNcpvGAzUODJHQ==">CgMxLjA4AHIhMWZsdVB5LWpQeWpxNVNJUktNbVRoTXpaRWlONkQ3MndM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