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54.]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resurrection in the true sense:’</w:t>
        <w:br w:type="textWrapping"/>
        <w:t xml:space="preserve">see above, ver. 44, and notice again the</w:t>
        <w:br w:type="textWrapping"/>
        <w:t xml:space="preserve">solemn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refrain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55.]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sense is not</w:t>
        <w:br w:type="textWrapping"/>
        <w:t xml:space="preserve">here,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Flesh is the true meat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.,’ but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Flesh is true meat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</w:t>
        <w:br w:type="textWrapping"/>
        <w:t xml:space="preserve">EATEN, which they doubted. The adverb,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meat indeed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drink indeed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in</w:t>
        <w:br w:type="textWrapping"/>
        <w:t xml:space="preserve">A.V., falls short of the depth of the adjective. This verse is decisive against all</w:t>
        <w:br w:type="textWrapping"/>
        <w:t xml:space="preserve">explaining away or metaphorizing the passage. Food and drink, are not here mere</w:t>
        <w:br w:type="textWrapping"/>
        <w:t xml:space="preserve">metaphors;—rather are our common material food and drink mere shadows and</w:t>
        <w:br w:type="textWrapping"/>
        <w:t xml:space="preserve">imperfect types of this only real reception</w:t>
        <w:br w:type="textWrapping"/>
        <w:t xml:space="preserve">of refreshment and nourishment into the</w:t>
        <w:br w:type="textWrapping"/>
        <w:t xml:space="preserve">being.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56.] He who thus lives upon</w:t>
        <w:br w:type="textWrapping"/>
        <w:t xml:space="preserve">Me, abides in 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(sce ch. xv. 5 and note);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(that living power and nourishment conveyed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bread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is the Lord Himself)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abide in him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57.]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same expanded further—see ch.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26. The two branches of the feeding on</w:t>
        <w:br w:type="textWrapping"/>
        <w:t xml:space="preserve">Christ are now united under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expression,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eateth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expresses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efficient 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‘The Father</w:t>
        <w:br w:type="textWrapping"/>
        <w:t xml:space="preserve">is the Fountain of all Life: the Son lives</w:t>
        <w:br w:type="textWrapping"/>
        <w:t xml:space="preserve">in and by the Father: and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reated</w:t>
        <w:br w:type="textWrapping"/>
        <w:t xml:space="preserve">being generally, lives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lower 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  <w:t xml:space="preserve">in and by Him; but he that eateth Him,</w:t>
        <w:br w:type="textWrapping"/>
        <w:t xml:space="preserve">shall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eternally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and in the highest 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  <w:t xml:space="preserve">live by Him.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forms the solemn</w:t>
        <w:br w:type="textWrapping"/>
        <w:t xml:space="preserve">conclusion of the discourse, referring back</w:t>
        <w:br w:type="textWrapping"/>
        <w:t xml:space="preserve">to the Bread with which it began and to</w:t>
        <w:br w:type="textWrapping"/>
        <w:t xml:space="preserve">its difference from the perishable food</w:t>
        <w:br w:type="textWrapping"/>
        <w:t xml:space="preserve">which they had extolled: —and setting</w:t>
        <w:br w:type="textWrapping"/>
        <w:t xml:space="preserve">forth the infinite superiority of its effects</w:t>
        <w:br w:type="textWrapping"/>
        <w:t xml:space="preserve">over those of that sustenance.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came down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,—past,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because He has</w:t>
        <w:br w:type="textWrapping"/>
        <w:t xml:space="preserve">clearly identified it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60—65.]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Murmuring of some of the</w:t>
        <w:br w:type="textWrapping"/>
        <w:t xml:space="preserve">disciples at the foregoing discourse, and</w:t>
        <w:br w:type="textWrapping"/>
        <w:t xml:space="preserve">the answer of Jesus to them.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been shewn by Lampe, that the word</w:t>
        <w:br w:type="textWrapping"/>
        <w:t xml:space="preserve">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signifies not so much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absurdity as impiety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seems clear that it</w:t>
        <w:br w:type="textWrapping"/>
        <w:t xml:space="preserve">was not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difficulty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much as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strangeness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saying, which scandalized them. It is the whole discourse,—</w:t>
        <w:br w:type="textWrapping"/>
        <w:t xml:space="preserve">the turn given to it,—the doctrine of the</w:t>
        <w:br w:type="textWrapping"/>
        <w:t xml:space="preserve">Bread of Life,—the giving His Flesh and</w:t>
        <w:br w:type="textWrapping"/>
        <w:t xml:space="preserve">Blood to eat,—at which they take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offence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can hear it?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can</w:t>
        <w:br w:type="textWrapping"/>
        <w:t xml:space="preserve">listen to it?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can stay and hear such</w:t>
        <w:br w:type="textWrapping"/>
        <w:t xml:space="preserve">sayings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?’ 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can understand it?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61.] in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His</w:t>
        <w:br w:type="textWrapping"/>
        <w:t xml:space="preserve">divine knowledge.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62.] What then</w:t>
        <w:br w:type="textWrapping"/>
        <w:t xml:space="preserve">if ye see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. . not meaning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will ye not then</w:t>
        <w:br w:type="textWrapping"/>
        <w:t xml:space="preserve">be much more scandalized’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‘what will</w:t>
        <w:br w:type="textWrapping"/>
        <w:t xml:space="preserve">ye say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?’—but appealing to</w:t>
        <w:br w:type="textWrapping"/>
        <w:t xml:space="preserve">an event which they should witness, as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certain proof of one part of the “hard</w:t>
        <w:br w:type="textWrapping"/>
        <w:t xml:space="preserve">saying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with which indeed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rest of it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gcUrjq61h88+jIRZps5x/u818Q==">CgMxLjA4AHIhMW1nUnBJeWZNTVIxd1UybVBnbXNRSW10c2ZmTFhXQzJW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