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my testimony against it, causes me to</w:t>
        <w:br w:type="textWrapping"/>
        <w:t xml:space="preserve">exercise this caution which you so blame.’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{8} In ver. 8, it is of little import whether</w:t>
        <w:br w:type="textWrapping"/>
        <w:t xml:space="preserve">we read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yet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 sense will be</w:t>
        <w:br w:type="textWrapping"/>
        <w:t xml:space="preserve">the same, both on account of the present,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 not up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‘will not go up,’ which</w:t>
        <w:br w:type="textWrapping"/>
        <w:t xml:space="preserve">would express the disavowal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 intention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go up), and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yet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which occurs</w:t>
        <w:br w:type="textWrapping"/>
        <w:t xml:space="preserve">afterwards.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go not up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 mean,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am 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(at present)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going 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Meyer attributes to our Lord change of purpose, and justifies his view by the example of His</w:t>
        <w:br w:type="textWrapping"/>
        <w:t xml:space="preserve">treatment of the Syropheenician woman,</w:t>
        <w:br w:type="textWrapping"/>
        <w:t xml:space="preserve">whom He at first repulsed, but afterwards</w:t>
        <w:br w:type="textWrapping"/>
        <w:t xml:space="preserve">had compassion on. Matt. xv. 26 ff. The</w:t>
        <w:br w:type="textWrapping"/>
        <w:t xml:space="preserve">same Commentator directs attention to</w:t>
        <w:br w:type="textWrapping"/>
        <w:t xml:space="preserve">the emphatic term,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as implying that our Lord had it in His mind</w:t>
        <w:br w:type="textWrapping"/>
        <w:t xml:space="preserve">to go up to some future feasts, hut not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not yet full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</w:t>
        <w:br w:type="textWrapping"/>
        <w:t xml:space="preserve">Luke ix. 51 and note.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10.] not openly,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i.e. not in the usual caravan-company, nor probably by the usual way.</w:t>
        <w:br w:type="textWrapping"/>
        <w:t xml:space="preserve">Whether the Twelve were with Him, we</w:t>
        <w:br w:type="textWrapping"/>
        <w:t xml:space="preserve">have no means of judging: probably so, for</w:t>
        <w:br w:type="textWrapping"/>
        <w:t xml:space="preserve">they appear ch. ix. 2; and after their becoming once attached to the Person of our Lord as Apostles, we find no trace of His</w:t>
        <w:br w:type="textWrapping"/>
        <w:t xml:space="preserve">having been for any long time separated</w:t>
        <w:br w:type="textWrapping"/>
        <w:t xml:space="preserve">from them, except during their mission</w:t>
        <w:br w:type="textWrapping"/>
        <w:t xml:space="preserve">Matt. x., which was long ago accomplished.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These Jews are, as usual, the</w:t>
        <w:br w:type="textWrapping"/>
        <w:t xml:space="preserve">rulers, as distinguished from the multitudes. Their question itself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  <w:t xml:space="preserve">shews a hostile spirit.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12.] the mul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titudes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different groups of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multitude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composed) would include</w:t>
        <w:br w:type="textWrapping"/>
        <w:t xml:space="preserve">the Galilean disciples, and those who had</w:t>
        <w:br w:type="textWrapping"/>
        <w:t xml:space="preserve">been baptized by the disciples in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a,—</w:t>
        <w:br w:type="textWrapping"/>
        <w:t xml:space="preserve">whose view 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is a good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would represent,—as expressed mildly in</w:t>
        <w:br w:type="textWrapping"/>
        <w:t xml:space="preserve">protest against His enemies.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eceiveth the 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possibly in reference to the feeding of and then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multitude, which had given</w:t>
        <w:br w:type="textWrapping"/>
        <w:t xml:space="preserve">so much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 no man spake</w:t>
        <w:br w:type="textWrapping"/>
        <w:t xml:space="preserve">openly of him]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was true only of' the</w:t>
        <w:br w:type="textWrapping"/>
        <w:t xml:space="preserve">side who said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is a 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od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dared not speak their mind: the others</w:t>
        <w:br w:type="textWrapping"/>
        <w:t xml:space="preserve">spoke plainly enough. Here again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distinguished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titudes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14—39.]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testifies to Himself in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15—24.]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teaching is from the Father.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14,15. {14} when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was now the midst of the feast]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 sabbath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appears to have been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time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taught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publicly at Jerusalem;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{15}—whence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wonder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Jews, i.e. the rulers of the hiera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chy.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letters]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Particularly,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scripture-learning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 this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  <w:br w:type="textWrapping"/>
        <w:t xml:space="preserve">the literature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Jews. Probably His</w:t>
        <w:br w:type="textWrapping"/>
        <w:t xml:space="preserve">teaching consisted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 of the</w:t>
        <w:br w:type="textWrapping"/>
        <w:t xml:space="preserve">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never learned: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never having been the scholar of any Rabbi.</w:t>
        <w:br w:type="textWrapping"/>
        <w:t xml:space="preserve">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taught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 words are</w:t>
        <w:br w:type="textWrapping"/>
        <w:t xml:space="preserve">spoken in the true bigotry and prejudice of</w:t>
        <w:br w:type="textWrapping"/>
        <w:t xml:space="preserve">so-called ‘learning.’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 of</w:t>
        <w:br w:type="textWrapping"/>
        <w:t xml:space="preserve">His enemies, testifying to matter of fact</w:t>
        <w:br w:type="textWrapping"/>
        <w:t xml:space="preserve">well known to them, are, as Meyer ob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CIZF7j9KugsLUy+bn2hrzziwZg==">CgMxLjA4AHIhMWR2b2FtLS1rNWtTc1MxcGw4YXZJd1ZXN3VRZG9LaVVt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