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their unbelief, on His withdrawal from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(2) vv. 25—29,—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things which</w:t>
        <w:br w:type="textWrapping"/>
        <w:t xml:space="preserve">He has to say and judge of them, and the</w:t>
        <w:br w:type="textWrapping"/>
        <w:t xml:space="preserve">certainty of their own future recognition of</w:t>
        <w:br w:type="textWrapping"/>
        <w:t xml:space="preserve">Him and His truthfulness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(3) vv. 30—47,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first springing up of faith in many</w:t>
        <w:br w:type="textWrapping"/>
        <w:t xml:space="preserve">of them is by Him corrected and purified</w:t>
        <w:br w:type="textWrapping"/>
        <w:t xml:space="preserve">Jrom Jewish pride, and the source of such</w:t>
        <w:br w:type="textWrapping"/>
        <w:t xml:space="preserve">pride and unbelief detected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(4) vv. 48—</w:t>
        <w:br w:type="textWrapping"/>
        <w:t xml:space="preserve">58,—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accusation of the Jews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ver. 48,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gives occasion to Him to set forth very</w:t>
        <w:br w:type="textWrapping"/>
        <w:t xml:space="preserve">plainly His own divine dignity and pre-existence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time and place of</w:t>
        <w:br w:type="textWrapping"/>
        <w:t xml:space="preserve">this discourse are not definitely marked;</w:t>
        <w:br w:type="textWrapping"/>
        <w:t xml:space="preserve">but in all probability they were the same</w:t>
        <w:br w:type="textWrapping"/>
        <w:t xml:space="preserve">as before. Only no stress must be laid on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therefore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connected with ver. 20,</w:t>
        <w:br w:type="textWrapping"/>
        <w:t xml:space="preserve">for it is only the accustomed carrying forward by the Evangelist of the great self-manifestation of Jesus.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shall seek</w:t>
        <w:br w:type="textWrapping"/>
        <w:t xml:space="preserve">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includes the idea ‘and shall not find</w:t>
        <w:br w:type="textWrapping"/>
        <w:t xml:space="preserve">me,’ which is expressed in ch. vii. 34, 36: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shall continue seeking Me</w:t>
        <w:br w:type="textWrapping"/>
        <w:t xml:space="preserve">and shall die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(perish)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your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</w:t>
        <w:br w:type="textWrapping"/>
        <w:t xml:space="preserve">sin is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unbelief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for, ver. 24, it is clearly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distinguished from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but, ‘your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state</w:t>
        <w:br w:type="textWrapping"/>
        <w:t xml:space="preserve">of sin, unremoved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therefore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abiding</w:t>
        <w:br w:type="textWrapping"/>
        <w:t xml:space="preserve">on you, and proving your ruin’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on ver.</w:t>
        <w:br w:type="textWrapping"/>
        <w:t xml:space="preserve">24).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words do not refer to the</w:t>
        <w:br w:type="textWrapping"/>
        <w:t xml:space="preserve">destruction of Jerusalem, but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individual</w:t>
        <w:br w:type="textWrapping"/>
        <w:t xml:space="preserve">perdition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In these discourses in John,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judgment on the Jews is not prominently brought forward, as in the other</w:t>
        <w:br w:type="textWrapping"/>
        <w:t xml:space="preserve">Evangelists.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whither I go, ye cannot</w:t>
        <w:br w:type="textWrapping"/>
        <w:t xml:space="preserve">come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consequence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cause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(by</w:t>
        <w:br w:type="textWrapping"/>
        <w:t xml:space="preserve">any absolute decree) of their dying in their</w:t>
        <w:br w:type="textWrapping"/>
        <w:t xml:space="preserve">sins (sce ch. vii. 34; xiii, 33). ‘This latter</w:t>
        <w:br w:type="textWrapping"/>
        <w:t xml:space="preserve">sense would have required the insertion of</w:t>
        <w:br w:type="textWrapping"/>
        <w:t xml:space="preserve">“for” before the clause.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22.]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 is</w:t>
        <w:br w:type="textWrapping"/>
        <w:t xml:space="preserve">at least probable that they allude to the</w:t>
        <w:br w:type="textWrapping"/>
        <w:t xml:space="preserve">idea mentioned by Josephus, himself a</w:t>
        <w:br w:type="textWrapping"/>
        <w:t xml:space="preserve">Pharisee, in his speech at Jotapata, “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many as have laid violent hands on themselves, for their souls there is a darker</w:t>
        <w:br w:type="textWrapping"/>
        <w:t xml:space="preserve">Hadés reserved.’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eracleon, as cited by</w:t>
        <w:br w:type="textWrapping"/>
        <w:t xml:space="preserve">Origen, gives this interpretation of their</w:t>
        <w:br w:type="textWrapping"/>
        <w:t xml:space="preserve">saying :—‘and with the bitterest malice</w:t>
        <w:br w:type="textWrapping"/>
        <w:t xml:space="preserve">taunt Him with thus being about to go</w:t>
        <w:br w:type="textWrapping"/>
        <w:t xml:space="preserve">where they, the children of Abraham, could</w:t>
        <w:br w:type="textWrapping"/>
        <w:t xml:space="preserve">never come.’ De Wette thinks this too</w:t>
        <w:br w:type="textWrapping"/>
        <w:t xml:space="preserve">refined, and that such a meaning would, if</w:t>
        <w:br w:type="textWrapping"/>
        <w:t xml:space="preserve">intended, have been marked in our Lord’s</w:t>
        <w:br w:type="textWrapping"/>
        <w:t xml:space="preserve">answer.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 cannot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ome where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am going,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both shall return</w:t>
        <w:br w:type="textWrapping"/>
        <w:t xml:space="preserve">thither whence we came: I to the Father</w:t>
        <w:br w:type="textWrapping"/>
        <w:t xml:space="preserve">from Whom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above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I came: ye to</w:t>
        <w:br w:type="textWrapping"/>
        <w:t xml:space="preserve">the earth and under the earth (for that</w:t>
        <w:br w:type="textWrapping"/>
        <w:t xml:space="preserve">more awful meaning surely is not excluded)</w:t>
        <w:br w:type="textWrapping"/>
        <w:t xml:space="preserve">whence ye came’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beneath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course does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imply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present state of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  <w:t xml:space="preserve">involves the deeper meaning,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origin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that state of things (see ver. 44) and its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24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Since this (ver. 23)</w:t>
        <w:br w:type="textWrapping"/>
        <w:t xml:space="preserve">is the case,—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ye do not believe that I am</w:t>
        <w:br w:type="textWrapping"/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Deliverer,—and be renewed by</w:t>
        <w:br w:type="textWrapping"/>
        <w:t xml:space="preserve">Faith,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shall die in your sins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(plural here,</w:t>
        <w:br w:type="textWrapping"/>
        <w:t xml:space="preserve">as struck nearer home to 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consciences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implying individual acts of sin, the</w:t>
        <w:br w:type="textWrapping"/>
        <w:t xml:space="preserve">results of the carnal state).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</w:t>
        <w:br w:type="textWrapping"/>
        <w:t xml:space="preserve">question follows on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am from</w:t>
        <w:br w:type="textWrapping"/>
        <w:t xml:space="preserve">above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ver. 23, and on the dubious elliptical expression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am (he)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last verse.</w:t>
        <w:br w:type="textWrapping"/>
        <w:t xml:space="preserve">It is intended to bring out a plain answer</w:t>
        <w:br w:type="textWrapping"/>
        <w:t xml:space="preserve">on which their enmity might fasten.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Our Lord’s reply has been found very difficult, from reasons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hardly be explained to the English reader. The A. V.,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 the same that I said unto you from</w:t>
        <w:br w:type="textWrapping"/>
        <w:t xml:space="preserve">the beginning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cannot well be right. The</w:t>
        <w:br w:type="textWrapping"/>
        <w:t xml:space="preserve">verb rather means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speak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discourse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than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connecting particle cannot well be rendered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and the</w:t>
        <w:br w:type="textWrapping"/>
        <w:t xml:space="preserve">word rendered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 beginning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far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n4KdkDGSVBa4Nd6/H8+iGeVYEw==">CgMxLjA4AHIhMWtYRkY2dDhNYW5jRktZQkxzeDUtRDZBd3EyWEF6cGwy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