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before, ver. 47, which lies at the</w:t>
        <w:br w:type="textWrapping"/>
        <w:t xml:space="preserve">root.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‘Ye dishonour me ;—not</w:t>
        <w:br w:type="textWrapping"/>
        <w:t xml:space="preserve">that I seek my own honour, but His who</w:t>
        <w:br w:type="textWrapping"/>
        <w:t xml:space="preserve">sent me. There is One who seeketh my</w:t>
        <w:br w:type="textWrapping"/>
        <w:t xml:space="preserve">honour (ch. v. 23), and will have me</w:t>
        <w:br w:type="textWrapping"/>
        <w:t xml:space="preserve">honoured; and who judgeth between me</w:t>
        <w:br w:type="textWrapping"/>
        <w:t xml:space="preserve">and you, between truth and falsehood.’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Supply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 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after</w:t>
        <w:br w:type="textWrapping"/>
        <w:t xml:space="preserve">seeketh, but not after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judgeth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 is no pause (De Wette) between</w:t>
        <w:br w:type="textWrapping"/>
        <w:t xml:space="preserve">ver. 50 and this. This is the direct carrying </w:t>
        <w:br w:type="textWrapping"/>
        <w:t xml:space="preserve">on of the discourse, arising out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judgeth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last verse, and forming a</w:t>
        <w:br w:type="textWrapping"/>
        <w:t xml:space="preserve">new attempt of grace to plead with them,</w:t>
        <w:br w:type="textWrapping"/>
        <w:t xml:space="preserve">as Lampe calls it. Ye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children of</w:t>
        <w:br w:type="textWrapping"/>
        <w:t xml:space="preserve">the devil, but if ye keep My word, ye shall</w:t>
        <w:br w:type="textWrapping"/>
        <w:t xml:space="preserve">be rescued from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murderer.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keep my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continue in my</w:t>
        <w:br w:type="textWrapping"/>
        <w:t xml:space="preserve">word,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ver. 31, is not only outward obedience, </w:t>
        <w:br w:type="textWrapping"/>
        <w:t xml:space="preserve">but the endurance in, and obedience</w:t>
        <w:br w:type="textWrapping"/>
        <w:t xml:space="preserve">of faith.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behold death,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taste</w:t>
        <w:br w:type="textWrapping"/>
        <w:t xml:space="preserve">of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a Hebrew way of speaking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die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must not be pressed to mean,</w:t>
        <w:br w:type="textWrapping"/>
        <w:t xml:space="preserve">‘shall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bitterness of) death,</w:t>
        <w:br w:type="textWrapping"/>
        <w:t xml:space="preserve">in a temporal sense, as Stier has done.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 of the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reckoned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any more than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 of the</w:t>
        <w:br w:type="textWrapping"/>
        <w:t xml:space="preserve">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our Lord’s discourses; see</w:t>
        <w:br w:type="textWrapping"/>
        <w:t xml:space="preserve">ch. xi. 25, 26, and notes. Both words</w:t>
        <w:br w:type="textWrapping"/>
        <w:t xml:space="preserve">have a deeper meaning.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52, 53.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{52} The Jews, not knowing what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“death”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really imports, regard the saying as a decisive proof of their surmise ver. 48. ‘Their misunderstanding (says De Wette) keeps to the well-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known type (ch. iii. 4;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iv. 11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 but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 theocratic pride is added to carnal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sensuousness:—“the Old Test. Saints died!”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54, 55.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argument in these</w:t>
        <w:br w:type="textWrapping"/>
        <w:t xml:space="preserve">verses is: ‘The same God who is the God</w:t>
        <w:br w:type="textWrapping"/>
        <w:t xml:space="preserve">of Abraham, is my Father;—He it is who</w:t>
        <w:br w:type="textWrapping"/>
        <w:t xml:space="preserve">honours (glorifies) me, and it is His word</w:t>
        <w:br w:type="textWrapping"/>
        <w:t xml:space="preserve">that I keep. I was promised by Him to</w:t>
        <w:br w:type="textWrapping"/>
        <w:t xml:space="preserve">Abraham.’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 glorify 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  <w:t xml:space="preserve">‘glorify myself to this high designation, of</w:t>
        <w:br w:type="textWrapping"/>
        <w:t xml:space="preserve">being able to deliver from death.’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ye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Whom you are in the habit</w:t>
        <w:br w:type="textWrapping"/>
        <w:t xml:space="preserve">of calling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God—i.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God of</w:t>
        <w:br w:type="textWrapping"/>
        <w:t xml:space="preserve">Israel. A most important identification,</w:t>
        <w:br w:type="textWrapping"/>
        <w:t xml:space="preserve">from the mouth of our Lord Himself,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Old Test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sense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say ‘He is our God,’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know Him not.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what follows</w:t>
        <w:br w:type="textWrapping"/>
        <w:t xml:space="preserve">sets forth the contrast between them, the</w:t>
        <w:br w:type="textWrapping"/>
        <w:t xml:space="preserve">pretended children of Abraham, who know</w:t>
        <w:br w:type="textWrapping"/>
        <w:t xml:space="preserve">not Abraham’s God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and Him</w:t>
        <w:br w:type="textWrapping"/>
        <w:t xml:space="preserve">who knows Him, and keeps His word, so</w:t>
        <w:br w:type="textWrapping"/>
        <w:t xml:space="preserve">that His word works in and by Him; yea,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 Word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allowing</w:t>
        <w:br w:type="textWrapping"/>
        <w:t xml:space="preserve">their denial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state of knowledge and</w:t>
        <w:br w:type="textWrapping"/>
        <w:t xml:space="preserve">union 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great a lie in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assumption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 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Lord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deny them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title of children of Abraham :—it.</w:t>
        <w:br w:type="textWrapping"/>
        <w:t xml:space="preserve">is of spiritual things that He has been</w:t>
        <w:br w:type="textWrapping"/>
        <w:t xml:space="preserve">speaking, in refusing them the reality of</w:t>
        <w:br w:type="textWrapping"/>
        <w:t xml:space="preserve">it.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rejoiced to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should see.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intent is to shew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F9P0S0rMOgtKklPD/u67chUUg==">CgMxLjA4AHIhMThOMGhpTnVJd1pGMVNISVhQX2lqS0Q0cWxpWWVoY3NL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