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vi. 1, and vii. 1.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blind man was</w:t>
        <w:br w:type="textWrapping"/>
        <w:t xml:space="preserve">sitting begging (ver. 8), possibly proclaiming </w:t>
        <w:br w:type="textWrapping"/>
        <w:t xml:space="preserve">the fact of his having been so</w:t>
        <w:br w:type="textWrapping"/>
        <w:t xml:space="preserve">born; for otherwise the disciples could</w:t>
        <w:br w:type="textWrapping"/>
        <w:t xml:space="preserve">hardly have asked the following question.</w:t>
        <w:br w:type="textWrapping"/>
        <w:t xml:space="preserve">The incident may have been in the neighbourhood </w:t>
        <w:br w:type="textWrapping"/>
        <w:t xml:space="preserve">of the temple (Acts iii. 2): but</w:t>
        <w:br w:type="textWrapping"/>
        <w:t xml:space="preserve">doubtless there were other places where</w:t>
        <w:br w:type="textWrapping"/>
        <w:t xml:space="preserve">beggars sat, besides the temple entrances.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According to Jewish ideas, every</w:t>
        <w:br w:type="textWrapping"/>
        <w:t xml:space="preserve">infirmity was the punishment of sin (see</w:t>
        <w:br w:type="textWrapping"/>
        <w:t xml:space="preserve">ver. 34). From Exod. xx. 5, and the prevailing </w:t>
        <w:br w:type="textWrapping"/>
        <w:t xml:space="preserve">views on the subject, the disciples</w:t>
        <w:br w:type="textWrapping"/>
        <w:t xml:space="preserve">may have believed that the man was</w:t>
        <w:br w:type="textWrapping"/>
        <w:t xml:space="preserve">visited for the sins of his parents: but how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himself have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his</w:t>
        <w:br w:type="textWrapping"/>
        <w:t xml:space="preserve">birth? Beza and Grotius refer the question </w:t>
        <w:br w:type="textWrapping"/>
        <w:t xml:space="preserve">to the doctrine of the transmigration</w:t>
        <w:br w:type="textWrapping"/>
        <w:t xml:space="preserve">of souls, that he may have sinned in a</w:t>
        <w:br w:type="textWrapping"/>
        <w:t xml:space="preserve">former state of existence; this however is</w:t>
        <w:br w:type="textWrapping"/>
        <w:t xml:space="preserve">disproved by the consideration adduced</w:t>
        <w:br w:type="textWrapping"/>
        <w:t xml:space="preserve">by Lightfoot, that the Pharis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believed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souls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passed into other</w:t>
        <w:br w:type="textWrapping"/>
        <w:t xml:space="preserve">bodies, which would exclude this case.</w:t>
        <w:br w:type="textWrapping"/>
        <w:t xml:space="preserve">Lightfoot,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 and Meyer refer it to</w:t>
        <w:br w:type="textWrapping"/>
        <w:t xml:space="preserve">the possibility of sin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womb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Tholuck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predestinated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punished by anticipation: </w:t>
        <w:br w:type="textWrapping"/>
        <w:t xml:space="preserve">De Wette to the general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trine </w:t>
        <w:br w:type="textWrapping"/>
        <w:t xml:space="preserve">of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-existence of souls, which</w:t>
        <w:br w:type="textWrapping"/>
        <w:t xml:space="preserve">prevailed both among the Rabbis and</w:t>
        <w:br w:type="textWrapping"/>
        <w:t xml:space="preserve">Alexandrians: see Wisd. viii, 19, 20.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may have been asked</w:t>
        <w:br w:type="textWrapping"/>
        <w:t xml:space="preserve">vaguely, without any strict application of</w:t>
        <w:br w:type="textWrapping"/>
        <w:t xml:space="preserve">it to the circumstances, merely taking for</w:t>
        <w:br w:type="textWrapping"/>
        <w:t xml:space="preserve">granted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have led to the</w:t>
        <w:br w:type="textWrapping"/>
        <w:t xml:space="preserve">blindness, and hardly thinking of the non-applicability </w:t>
        <w:br w:type="textWrapping"/>
        <w:t xml:space="preserve">of one of the suppositions to</w:t>
        <w:br w:type="textWrapping"/>
        <w:t xml:space="preserve">this case. Or perhaps, as Stier inclines to</w:t>
        <w:br w:type="textWrapping"/>
        <w:t xml:space="preserve">suppose, the question may mean, ‘this</w:t>
        <w:br w:type="textWrapping"/>
        <w:t xml:space="preserve">man, 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that is out of the question,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parents?”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does not</w:t>
        <w:br w:type="textWrapping"/>
        <w:t xml:space="preserve">of course assert the absolute sinlessness of</w:t>
        <w:br w:type="textWrapping"/>
        <w:t xml:space="preserve">the man, or of his parents, but answers</w:t>
        <w:br w:type="textWrapping"/>
        <w:t xml:space="preserve">the question with reference to the reason</w:t>
        <w:br w:type="textWrapping"/>
        <w:t xml:space="preserve">why it was asked. Supply therefore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should be born blind.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Also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was born blind.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the economy of God’s Providence, his</w:t>
        <w:br w:type="textWrapping"/>
        <w:t xml:space="preserve">suffering had its place and aim, and this</w:t>
        <w:br w:type="textWrapping"/>
        <w:t xml:space="preserve">was to bring out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</w:t>
        <w:br w:type="textWrapping"/>
        <w:t xml:space="preserve">being healed by the Redeemer. De Wette</w:t>
        <w:br w:type="textWrapping"/>
        <w:t xml:space="preserve">denies this interpretation, and refers the</w:t>
        <w:br w:type="textWrapping"/>
        <w:t xml:space="preserve">saying merely to the view of our Lord to</w:t>
        <w:br w:type="textWrapping"/>
        <w:t xml:space="preserve">bring out his own practical design, to</w:t>
        <w:br w:type="textWrapping"/>
        <w:t xml:space="preserve">make use of this man to prove His divine</w:t>
        <w:br w:type="textWrapping"/>
        <w:t xml:space="preserve">power. But sce ch. xi. 4, which is strictly</w:t>
        <w:br w:type="textWrapping"/>
        <w:t xml:space="preserve">parallel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Connected by the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 the works,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former verse.</w:t>
        <w:br w:type="textWrapping"/>
        <w:t xml:space="preserve">There certainly seems to be some reference</w:t>
        <w:br w:type="textWrapping"/>
        <w:t xml:space="preserve">to its being the sab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ath; see the similar</w:t>
        <w:br w:type="textWrapping"/>
        <w:t xml:space="preserve">expressions in ch. v. 17. From ver. 5, it</w:t>
        <w:br w:type="textWrapping"/>
        <w:t xml:space="preserve">seems evident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appointed</w:t>
        <w:br w:type="textWrapping"/>
        <w:t xml:space="preserve">course of the working of Jesus on earth,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close of it (see the</w:t>
        <w:br w:type="textWrapping"/>
        <w:t xml:space="preserve">parallel, ch. xi. 9, 10). It is true, that,</w:t>
        <w:br w:type="textWrapping"/>
        <w:t xml:space="preserve">according to St. Joh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universal diction,</w:t>
        <w:br w:type="textWrapping"/>
        <w:t xml:space="preserve">the death of Jesus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glorification ;</w:t>
        <w:br w:type="textWrapping"/>
        <w:t xml:space="preserve">but the similitude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ver. 5; and the language</w:t>
        <w:br w:type="textWrapping"/>
        <w:t xml:space="preserve">of Rom. xiii. 12 is in accordance with it,</w:t>
        <w:br w:type="textWrapping"/>
        <w:t xml:space="preserve">as also Luke xxii. 53: John xiv. 30.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partly explains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former verse, partly alludes to the</w:t>
        <w:br w:type="textWrapping"/>
        <w:t xml:space="preserve">nature of the healing about to take place.</w:t>
        <w:br w:type="textWrapping"/>
        <w:t xml:space="preserve">As before the raising of Lazarus (ch. xi.</w:t>
        <w:br w:type="textWrapping"/>
        <w:t xml:space="preserve">25), He states that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</w:t>
        <w:br w:type="textWrapping"/>
        <w:t xml:space="preserve">and the Life;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now, He sets forth Himself </w:t>
        <w:br w:type="textWrapping"/>
        <w:t xml:space="preserve">as the source of the archetypal spiritual</w:t>
        <w:br w:type="textWrapping"/>
        <w:t xml:space="preserve">light, of which the natural, now about to</w:t>
        <w:br w:type="textWrapping"/>
        <w:t xml:space="preserve">be conferred, is only a derivation and symbol.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Mark vii. 33; viii. 23.</w:t>
        <w:br w:type="textWrapping"/>
        <w:t xml:space="preserve">The virtue especially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saliva,</w:t>
        <w:br w:type="textWrapping"/>
        <w:t xml:space="preserve">in cases of disorders of the eyes, was well</w:t>
        <w:br w:type="textWrapping"/>
        <w:t xml:space="preserve">known to antiquity. In the accounts of</w:t>
        <w:br w:type="textWrapping"/>
        <w:t xml:space="preserve">the restoring of a blind man to sight attributed </w:t>
        <w:br w:type="textWrapping"/>
        <w:t xml:space="preserve">to Vespasian, the use of this</w:t>
        <w:br w:type="textWrapping"/>
        <w:t xml:space="preserve">remedy occurs. The use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for</w:t>
        <w:br w:type="textWrapping"/>
        <w:t xml:space="preserve">healing the eyes was not unknown.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nqR/5AF+O2orRJaghfZctUeyw==">CgMxLjA4AHIhMXRhbFNMdXJ1NUhVc3Rfa3hHX2M0T2lZYUFNMk1jempS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