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rule can be laid down which our Lord</w:t>
        <w:br w:type="textWrapping"/>
        <w:t xml:space="preserve">may seem to have observed, as to using,</w:t>
        <w:br w:type="textWrapping"/>
        <w:t xml:space="preserve">or dispensing with, the ordinary human</w:t>
        <w:br w:type="textWrapping"/>
        <w:t xml:space="preserve">means of healing. He Himself determined,</w:t>
        <w:br w:type="textWrapping"/>
        <w:t xml:space="preserve">by considerations which are hidden from</w:t>
        <w:br w:type="textWrapping"/>
        <w:t xml:space="preserve">us. Whatever the means used, the healing</w:t>
        <w:br w:type="textWrapping"/>
        <w:t xml:space="preserve">was not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in Him alone. The</w:t>
        <w:br w:type="textWrapping"/>
        <w:t xml:space="preserve">‘conductor’ of the miraculous power was</w:t>
        <w:br w:type="textWrapping"/>
        <w:t xml:space="preserve">generally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recipient: and if</w:t>
        <w:br w:type="textWrapping"/>
        <w:t xml:space="preserve">such means served to awaken that faith,</w:t>
        <w:br w:type="textWrapping"/>
        <w:t xml:space="preserve">their use would be accounted for. 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his being sent to Siloam is</w:t>
        <w:br w:type="textWrapping"/>
        <w:t xml:space="preserve">uncertain. It may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part 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cure,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—or merely to wash off the clay.</w:t>
        <w:br w:type="textWrapping"/>
        <w:t xml:space="preserve">The former is most probable.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beggar </w:t>
        <w:br w:type="textWrapping"/>
        <w:t xml:space="preserve">blind from his birth would know the</w:t>
        <w:br w:type="textWrapping"/>
        <w:t xml:space="preserve">localities sufficiently to be able to find his</w:t>
        <w:br w:type="textWrapping"/>
        <w:t xml:space="preserve">way; so that there is no necessity to suppose </w:t>
        <w:br w:type="textWrapping"/>
        <w:t xml:space="preserve">a partial restoration of sight before</w:t>
        <w:br w:type="textWrapping"/>
        <w:t xml:space="preserve">his going.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situation of the fountain </w:t>
        <w:br w:type="textWrapping"/>
        <w:t xml:space="preserve">and pool of Siloam is very doubtful.</w:t>
        <w:br w:type="textWrapping"/>
        <w:t xml:space="preserve">On the subject of a recent suggestion respecting </w:t>
        <w:br w:type="textWrapping"/>
        <w:t xml:space="preserve">the identity of Siloam and Bethesda, </w:t>
        <w:br w:type="textWrapping"/>
        <w:t xml:space="preserve">see note on ch. v. 1.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</w:t>
        <w:br w:type="textWrapping"/>
        <w:t xml:space="preserve">interpreted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reason of this derivation</w:t>
        <w:br w:type="textWrapping"/>
        <w:t xml:space="preserve">being stated has been much doubted. Some</w:t>
        <w:br w:type="textWrapping"/>
        <w:t xml:space="preserve">consider the words to have been inserted</w:t>
        <w:br w:type="textWrapping"/>
        <w:t xml:space="preserve">as an early gloss of some allegorical interpreter. </w:t>
        <w:br w:type="textWrapping"/>
        <w:t xml:space="preserve">But there is no external authority</w:t>
        <w:br w:type="textWrapping"/>
        <w:t xml:space="preserve">for this supposition, Euthymius says, “I</w:t>
        <w:br w:type="textWrapping"/>
        <w:t xml:space="preserve">suppose, on account of the blind man being</w:t>
        <w:br w:type="textWrapping"/>
        <w:t xml:space="preserve">then sent thither:” and Meyer takes this</w:t>
        <w:br w:type="textWrapping"/>
        <w:t xml:space="preserve">view. But it would be a violent transfer,</w:t>
        <w:br w:type="textWrapping"/>
        <w:t xml:space="preserve">—of the name of the fountain, to the man</w:t>
        <w:br w:type="textWrapping"/>
        <w:t xml:space="preserve">who was sent thither. I should rather</w:t>
        <w:br w:type="textWrapping"/>
        <w:t xml:space="preserve">regard the healing virtue imparted to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water to be denoted, as symbolical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  <w:br w:type="textWrapping"/>
        <w:t xml:space="preserve">who was 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whose mission it was to</w:t>
        <w:br w:type="textWrapping"/>
        <w:t xml:space="preserve">give the healing water of life.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back;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—apparently to his own</w:t>
        <w:br w:type="textWrapping"/>
        <w:t xml:space="preserve">house, by the next verse.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had</w:t>
        <w:br w:type="textWrapping"/>
        <w:t xml:space="preserve">beheld,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seen.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choice of the word implies attention and</w:t>
        <w:br w:type="textWrapping"/>
        <w:t xml:space="preserve">habit.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</w:t>
        <w:br w:type="textWrapping"/>
        <w:t xml:space="preserve">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recovered sight.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Sight</w:t>
        <w:br w:type="textWrapping"/>
        <w:t xml:space="preserve">being natural to men, the deprivation of it</w:t>
        <w:br w:type="textWrapping"/>
        <w:t xml:space="preserve">is regarded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reception of</w:t>
        <w:br w:type="textWrapping"/>
        <w:t xml:space="preserve">it, though never enjoyed before,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recovery.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13.] The neighbours appear</w:t>
        <w:br w:type="textWrapping"/>
        <w:t xml:space="preserve">to have brought him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out of hostility to Jesus (see ver. 12):</w:t>
        <w:br w:type="textWrapping"/>
        <w:t xml:space="preserve">and ver. 14 alleges the reason of this:—</w:t>
        <w:br w:type="textWrapping"/>
        <w:t xml:space="preserve">or perhaps from fear of the sentence</w:t>
        <w:br w:type="textWrapping"/>
        <w:t xml:space="preserve">alluded to in ver. 22.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here may have been the court presiding</w:t>
        <w:br w:type="textWrapping"/>
        <w:t xml:space="preserve">over the synagogue, or one of the lesser</w:t>
        <w:br w:type="textWrapping"/>
        <w:t xml:space="preserve">local courts of Sanhedrim.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inclines</w:t>
        <w:br w:type="textWrapping"/>
        <w:t xml:space="preserve">to think they were an assembly of the</w:t>
        <w:br w:type="textWrapping"/>
        <w:t xml:space="preserve">great Sanhedrim, whom St. John sometimes </w:t>
        <w:br w:type="textWrapping"/>
        <w:t xml:space="preserve">names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vii. 47;</w:t>
        <w:br w:type="textWrapping"/>
        <w:t xml:space="preserve">xi. 46: Meyer regards them as some formal</w:t>
        <w:br w:type="textWrapping"/>
        <w:t xml:space="preserve">section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Pharisees,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body: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were there such sections?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Lightfoot</w:t>
        <w:br w:type="textWrapping"/>
        <w:t xml:space="preserve">cites from a Rabbinical treatise on the Sabbath,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forbidden even to put saliva</w:t>
        <w:br w:type="textWrapping"/>
        <w:t xml:space="preserve">on the eyelids.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the clay,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 servile work, seems to be here prominently </w:t>
        <w:br w:type="textWrapping"/>
        <w:t xml:space="preserve">mentioned. Meyer notices,—</w:t>
        <w:br w:type="textWrapping"/>
        <w:t xml:space="preserve">and it is interesting, as a minute mark of</w:t>
        <w:br w:type="textWrapping"/>
        <w:t xml:space="preserve">accuracy,—that the man, in verses 11 and</w:t>
        <w:br w:type="textWrapping"/>
        <w:t xml:space="preserve">15, only relates what he himself, as being</w:t>
        <w:br w:type="textWrapping"/>
        <w:t xml:space="preserve">blind, had felt: he says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KuCNAkWYRhTKBj01bisswrDLUw==">CgMxLjA4AHIhMXVxbVNCREVKM1VaSGN4c25ocnQ5T2tKaklMcDJYQWd2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