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accompanied by a curse,—and final exclusion,—</w:t>
        <w:br w:type="textWrapping"/>
        <w:t xml:space="preserve">would be too harsh, and perhaps were not</w:t>
        <w:br w:type="textWrapping"/>
        <w:t xml:space="preserve">in use so early. Trench regards the resolution not as a token that the Sanhedrim</w:t>
        <w:br w:type="textWrapping"/>
        <w:t xml:space="preserve">had pronounced Him a false Christ, but as</w:t>
        <w:br w:type="textWrapping"/>
        <w:t xml:space="preserve">shewing that they forbade a private man to</w:t>
        <w:br w:type="textWrapping"/>
        <w:t xml:space="preserve">anticipate their decision on this point by</w:t>
        <w:br w:type="textWrapping"/>
        <w:t xml:space="preserve">confessing Him. But perhaps this may be</w:t>
        <w:br w:type="textWrapping"/>
        <w:t xml:space="preserve">questioned.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Give glory to God]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‘Give God the praise’ (A. V.) i.e.</w:t>
        <w:br w:type="textWrapping"/>
        <w:t xml:space="preserve">‘the glory of thy healing:’ for the Pharisees want to overawe the man by their</w:t>
        <w:br w:type="textWrapping"/>
        <w:t xml:space="preserve">authority, and make him deny the miracle</w:t>
        <w:br w:type="textWrapping"/>
        <w:t xml:space="preserve">altogether. The words are a form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Josh. vii. 19),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tell the truth,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q. d. ‘Remember that you are in God’s</w:t>
        <w:br w:type="textWrapping"/>
        <w:t xml:space="preserve">presence, and speak as unto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m.’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25.]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man shrewdly evades the inference and states again the simple fact. We</w:t>
        <w:br w:type="textWrapping"/>
        <w:t xml:space="preserve">must render his words at the end of the</w:t>
        <w:br w:type="textWrapping"/>
        <w:t xml:space="preserve">verse,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whereas I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blind, now I</w:t>
        <w:br w:type="textWrapping"/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 V.: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a blind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  <w:t xml:space="preserve">as in text,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a blind man, I now see.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shrewd and 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ï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 disposition of the</w:t>
        <w:br w:type="textWrapping"/>
        <w:t xml:space="preserve">man furnishes the key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ænigmatical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expression. He puts it to them as the problem, the fact of which he knows for cer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tain but the reason of which it was for</w:t>
        <w:br w:type="textWrapping"/>
        <w:t xml:space="preserve">them to solve, that he, whom they all knew</w:t>
        <w:br w:type="textWrapping"/>
        <w:t xml:space="preserve">as a blind man, now saw.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</w:t>
        <w:br w:type="textWrapping"/>
        <w:t xml:space="preserve">perhaps are trying to shake his evidence,—</w:t>
        <w:br w:type="textWrapping"/>
        <w:t xml:space="preserve">or to make him state something which</w:t>
        <w:br w:type="textWrapping"/>
        <w:t xml:space="preserve">should bring out some stronger violation of</w:t>
        <w:br w:type="textWrapping"/>
        <w:t xml:space="preserve">the sabbath.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27.] did not hear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</w:t>
        <w:br w:type="textWrapping"/>
        <w:t xml:space="preserve">be in its special meaning of ‘did not heed</w:t>
        <w:br w:type="textWrapping"/>
        <w:t xml:space="preserve">it.’ The latter clause is of course ironical:</w:t>
        <w:br w:type="textWrapping"/>
        <w:t xml:space="preserve">“you seem so anxious to hear particulars</w:t>
        <w:br w:type="textWrapping"/>
        <w:t xml:space="preserve">about Him, that you must surely be intending to become His disciples.’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hath spoken,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important: it betokens the abiding finality of</w:t>
        <w:br w:type="textWrapping"/>
        <w:t xml:space="preserve">God’s revelation to Moses, in their estimation: as if they said,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 stand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God’s</w:t>
        <w:br w:type="textWrapping"/>
        <w:t xml:space="preserve">revelation to Moses.”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whence,—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‘whether from God or not.’ But see ch.</w:t>
        <w:br w:type="textWrapping"/>
        <w:t xml:space="preserve">vii. 27, 28, where a very different reason is</w:t>
        <w:br w:type="textWrapping"/>
        <w:t xml:space="preserve">given for disbelieving Him to be the Christ.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30.] Why herein 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&amp;c. This well</w:t>
        <w:br w:type="textWrapping"/>
        <w:t xml:space="preserve">expresses the sense of the original. Tho</w:t>
        <w:br w:type="textWrapping"/>
        <w:t xml:space="preserve">man takes what their words had conceded,</w:t>
        <w:br w:type="textWrapping"/>
        <w:t xml:space="preserve">and proceeds to argue upon it.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emphatic: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whose business it is to</w:t>
        <w:br w:type="textWrapping"/>
        <w:t xml:space="preserve">know such things.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expresses</w:t>
        <w:br w:type="textWrapping"/>
        <w:t xml:space="preserve">a general popular conviction, that one who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TFxYkKC8Hfuvy0SH9vNVoNlwTQ==">CgMxLjA4AHIhMVZtRG1temdHT2VpOWFpMzZzbTJ6Sm8xd1JrSVdUYlBo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