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Father, from the counsel of whose will the</w:t>
        <w:br w:type="textWrapping"/>
        <w:t xml:space="preserve">whole mediatorial office of Christ sprung:</w:t>
        <w:br w:type="textWrapping"/>
        <w:t xml:space="preserve">see ch. xii, 49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19—21.]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{21}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luding words bind this discourse to the</w:t>
        <w:br w:type="textWrapping"/>
        <w:t xml:space="preserve">miracle of ch. ix., though not necessarily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22—39.]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Discourse at the Feast of</w:t>
        <w:br w:type="textWrapping"/>
        <w:t xml:space="preserve">Dedication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may be, that Jesus remained at, or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neighborhood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of,</w:t>
        <w:br w:type="textWrapping"/>
        <w:t xml:space="preserve">Jerusalem during the interval (two months)</w:t>
        <w:br w:type="textWrapping"/>
        <w:t xml:space="preserve">between the Feast of Tabernacles and that</w:t>
        <w:br w:type="textWrapping"/>
        <w:t xml:space="preserve">of the Dedication. Had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returned to</w:t>
        <w:br w:type="textWrapping"/>
        <w:t xml:space="preserve">Galilee,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should have expected some</w:t>
        <w:br w:type="textWrapping"/>
        <w:t xml:space="preserve">mention of it. Still, by the words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  <w:br w:type="textWrapping"/>
        <w:t xml:space="preserve">Jerusalem,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would seem as if a fresh</w:t>
        <w:br w:type="textWrapping"/>
        <w:t xml:space="preserve">period and a new visit began; for why</w:t>
        <w:br w:type="textWrapping"/>
        <w:t xml:space="preserve">should such a specification be made, if the</w:t>
        <w:br w:type="textWrapping"/>
        <w:t xml:space="preserve">narrative proceeded continuously ? See on</w:t>
        <w:br w:type="textWrapping"/>
        <w:t xml:space="preserve">Luke ix. 51 ff.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feast had</w:t>
        <w:br w:type="textWrapping"/>
        <w:t xml:space="preserve">become usual since the time when Judas</w:t>
        <w:br w:type="textWrapping"/>
        <w:t xml:space="preserve">Maccabæus purified the temple from the</w:t>
        <w:br w:type="textWrapping"/>
        <w:t xml:space="preserve">profanations of Antiochus. It was held</w:t>
        <w:br w:type="textWrapping"/>
        <w:t xml:space="preserve">on Chisleu (December) 25, and seven following days: see 1 Mace. iv. 41—59:</w:t>
        <w:br w:type="textWrapping"/>
        <w:t xml:space="preserve">2 Mace. x. 1—8.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 winter]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 is inserted to explain to Gentile</w:t>
        <w:br w:type="textWrapping"/>
        <w:t xml:space="preserve">readers the reason of our Lord’s walking</w:t>
        <w:br w:type="textWrapping"/>
        <w:t xml:space="preserve">in Solomon’s portico. This latter was on</w:t>
        <w:br w:type="textWrapping"/>
        <w:t xml:space="preserve">the east side of the temple, called also by</w:t>
        <w:br w:type="textWrapping"/>
        <w:t xml:space="preserve">Josephus,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Eastern porch.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says</w:t>
        <w:br w:type="textWrapping"/>
        <w:t xml:space="preserve">that it was an original work of Solomon,</w:t>
        <w:br w:type="textWrapping"/>
        <w:t xml:space="preserve">which had remained from the former</w:t>
        <w:br w:type="textWrapping"/>
        <w:t xml:space="preserve">temple.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had often told them,</w:t>
        <w:br w:type="textWrapping"/>
        <w:t xml:space="preserve">in unmistakeable descriptions of Himself:</w:t>
        <w:br w:type="textWrapping"/>
        <w:t xml:space="preserve">see ch. v. 19; viii. 36, 56, 58,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the great reference here is 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in ver. 37.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difficulty of</w:t>
        <w:br w:type="textWrapping"/>
        <w:t xml:space="preserve">the words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I said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considerable warrant for their genuineness: and</w:t>
        <w:br w:type="textWrapping"/>
        <w:t xml:space="preserve">they come much more naturally with this</w:t>
        <w:br w:type="textWrapping"/>
        <w:t xml:space="preserve">than with the following verse. I believe</w:t>
        <w:br w:type="textWrapping"/>
        <w:t xml:space="preserve">them to refer more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whole allegory,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than to any explicit saying of this kind;</w:t>
        <w:br w:type="textWrapping"/>
        <w:t xml:space="preserve">and this is shewn to my mind by the following words in ver. 27:—the link between the two,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ye hear not my voice,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understood. This was an obvious</w:t>
        <w:br w:type="textWrapping"/>
        <w:t xml:space="preserve">deduction from the allegory, and thus it</w:t>
        <w:br w:type="textWrapping"/>
        <w:t xml:space="preserve">might be said, “as I said unto you.” This</w:t>
        <w:br w:type="textWrapping"/>
        <w:t xml:space="preserve">reference to the allegory some two months</w:t>
        <w:br w:type="textWrapping"/>
        <w:t xml:space="preserve">after it was spoken, has been used by the</w:t>
        <w:br w:type="textWrapping"/>
        <w:t xml:space="preserve">rationalists as an argument against the</w:t>
        <w:br w:type="textWrapping"/>
        <w:t xml:space="preserve">authenticity of the narrative. But, as</w:t>
        <w:br w:type="textWrapping"/>
        <w:t xml:space="preserve">Meyer observes, it in reality implies that</w:t>
        <w:br w:type="textWrapping"/>
        <w:t xml:space="preserve">the conflict with the Jewish authorities is</w:t>
        <w:br w:type="textWrapping"/>
        <w:t xml:space="preserve">here again taken up after that interval,</w:t>
        <w:br w:type="textWrapping"/>
        <w:t xml:space="preserve">during which it had not broken out.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27—29.]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{28} This leads to a further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mYHryJ4A1reSiD/nWXJNS1g3AQ==">CgMxLjA4AHIhMWZzUnRQQmhibFVUNWRvdjdqekJrdWI1SEFVWW9CckY5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