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description of these sheep. The form of the</w:t>
        <w:br w:type="textWrapping"/>
        <w:t xml:space="preserve">sentence is a climax; rising through the</w:t>
        <w:br w:type="textWrapping"/>
        <w:t xml:space="preserve">words 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give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and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out of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my</w:t>
      </w: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</w:t>
        <w:br w:type="textWrapping"/>
        <w:t xml:space="preserve">to 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my Father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which hath given them</w:t>
        <w:br w:type="textWrapping"/>
        <w:t xml:space="preserve">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 and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out of</w:t>
      </w: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my Father’s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hand.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  <w:br w:type="textWrapping"/>
        <w:t xml:space="preserve">{29} Then the apparent diversity of the two</w:t>
        <w:br w:type="textWrapping"/>
        <w:t xml:space="preserve">expressions,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out of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my</w:t>
      </w: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and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out of</w:t>
      </w: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my Father’s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hand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 gives occasion to the assertion in ver. 30, that Christ and</w:t>
        <w:br w:type="textWrapping"/>
        <w:t xml:space="preserve">the Father are ONE: {30} one in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essence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primarily, but therefore also one in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working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and POWER, and in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will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Notice,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one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neuter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 gender, not masculine: the</w:t>
        <w:br w:type="textWrapping"/>
        <w:t xml:space="preserve">Father and the Son are not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personally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one, but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essentially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That the Jews understood our Lord’s words to assert this essential unity, is plain from the next verse.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31.]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i.e. as having spoken blasphemy, Levit. xxiv. 10 ff.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32.]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See</w:t>
        <w:br w:type="textWrapping"/>
        <w:t xml:space="preserve">Mark vii. 37.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from my Father,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because (cf. vv. 37, 38) He Himself proceeded forth from the Father, and the</w:t>
        <w:br w:type="textWrapping"/>
        <w:t xml:space="preserve">Father wrought in Him.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have I</w:t>
        <w:br w:type="textWrapping"/>
        <w:t xml:space="preserve">shewed you,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—because they were part of</w:t>
        <w:br w:type="textWrapping"/>
        <w:t xml:space="preserve">the manifestation of Himself as the Son of</w:t>
        <w:br w:type="textWrapping"/>
        <w:t xml:space="preserve">God.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33.] makest thyself God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is</w:t>
        <w:br w:type="textWrapping"/>
        <w:t xml:space="preserve">equivalent to “making himself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equal to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God,” ch. v. 18.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34.]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 word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law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here</w:t>
        <w:br w:type="textWrapping"/>
        <w:t xml:space="preserve">is in its widest acceptation,—the whole</w:t>
        <w:br w:type="textWrapping"/>
        <w:t xml:space="preserve">Old Testament, as ch. xii. 34; xv. 25. The</w:t>
        <w:br w:type="textWrapping"/>
        <w:t xml:space="preserve">Psalm (lxxxii.) is directed against the injustice and tyranny of judges (not,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Gentile rulers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 the world, nor,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angels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  <w:br w:type="textWrapping"/>
        <w:t xml:space="preserve">in Israel. And in the Psalm reference is</w:t>
        <w:br w:type="textWrapping"/>
        <w:t xml:space="preserve">made by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 have said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to previous places</w:t>
        <w:br w:type="textWrapping"/>
        <w:t xml:space="preserve">of Scripture where judges are so called, viz.</w:t>
        <w:br w:type="textWrapping"/>
        <w:t xml:space="preserve">Exod. xxi. 6; xxii. 9, 28. 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35.] unto</w:t>
        <w:br w:type="textWrapping"/>
        <w:t xml:space="preserve">whom the word of God came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i. e.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to whom.</w:t>
        <w:br w:type="textWrapping"/>
        <w:t xml:space="preserve">God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(in those passages)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spoke.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The</w:t>
        <w:br w:type="textWrapping"/>
        <w:t xml:space="preserve">expression,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the scripture cannot be</w:t>
        <w:br w:type="textWrapping"/>
        <w:t xml:space="preserve">broken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(which is not a parenthesis, but</w:t>
        <w:br w:type="textWrapping"/>
        <w:t xml:space="preserve">constructionally part of the sentence, depending on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if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), implies, ‘and if you cannot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explain this expression away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,—if it cannot</w:t>
        <w:br w:type="textWrapping"/>
        <w:t xml:space="preserve">mean nothing,—for it rests on the testimony of God’s word’— 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36.]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argument 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from the greater to the less.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If in any sense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could be called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gods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,—</w:t>
        <w:br w:type="textWrapping"/>
        <w:t xml:space="preserve">how much more properly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He,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whom &amp;c.</w:t>
        <w:br w:type="textWrapping"/>
        <w:t xml:space="preserve">They were only officially so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called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only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called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gods—but He, the only One, sealed</w:t>
        <w:br w:type="textWrapping"/>
        <w:t xml:space="preserve">and hallowed by the Father, and sent into</w:t>
        <w:br w:type="textWrapping"/>
        <w:t xml:space="preserve">the world (the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time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referred to, in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sanctified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sent,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 that of the Incarnation), 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RaV6N+olRwh6aungIRy1V2ZTqA==">CgMxLjA4AHIhMXBlR3BOcVZnYmdZSURjX0dkRGZJd2hGamtHT0xUTS1G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