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probably wrote after the destruction</w:t>
        <w:br w:type="textWrapping"/>
        <w:t xml:space="preserve">of Jerusalem, it is more natural (as Meyer</w:t>
        <w:br w:type="textWrapping"/>
        <w:t xml:space="preserve">himself confesses) to explain the past tense</w:t>
        <w:br w:type="textWrapping"/>
        <w:t xml:space="preserve">by his regarding Jerusalem and its neighbourhood as laid waste at the time when</w:t>
        <w:br w:type="textWrapping"/>
        <w:t xml:space="preserve">he published his Gospel.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Lightfoot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an account of the ceremonies practised during the thirty days of mourning.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behaviour of the two</w:t>
        <w:br w:type="textWrapping"/>
        <w:t xml:space="preserve">sisters is quite in accordance with their</w:t>
        <w:br w:type="textWrapping"/>
        <w:t xml:space="preserve">character, Luke x. 38—42: and thus we</w:t>
        <w:br w:type="textWrapping"/>
        <w:t xml:space="preserve">have a most interesting point of connexion</w:t>
        <w:br w:type="textWrapping"/>
        <w:t xml:space="preserve">between two gospels so widely various in</w:t>
        <w:br w:type="textWrapping"/>
        <w:t xml:space="preserve">their contents and character. Stier thinks,</w:t>
        <w:br w:type="textWrapping"/>
        <w:t xml:space="preserve">as also Trench, that Mary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hear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approach of Jesus, and that we</w:t>
        <w:br w:type="textWrapping"/>
        <w:t xml:space="preserve">must not bring the characters to bear on</w:t>
        <w:br w:type="textWrapping"/>
        <w:t xml:space="preserve">this case. But this is at least questionable.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saying has evidently been</w:t>
        <w:br w:type="textWrapping"/>
        <w:t xml:space="preserve">the leading thought of the four days since</w:t>
        <w:br w:type="textWrapping"/>
        <w:t xml:space="preserve">their brother’s death. Mary repeats it,</w:t>
        <w:br w:type="textWrapping"/>
        <w:t xml:space="preserve">ver. 32.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 seems to express</w:t>
        <w:br w:type="textWrapping"/>
        <w:t xml:space="preserve">some expectation of the raising of her</w:t>
        <w:br w:type="textWrapping"/>
        <w:t xml:space="preserve">brother; but it is too great a thing for</w:t>
        <w:br w:type="textWrapping"/>
        <w:t xml:space="preserve">her to venture to mention:—possibly she</w:t>
        <w:br w:type="textWrapping"/>
        <w:t xml:space="preserve">had not dared to form the thought fully,</w:t>
        <w:br w:type="textWrapping"/>
        <w:t xml:space="preserve">but had some vague feeling after help,</w:t>
        <w:br w:type="textWrapping"/>
        <w:t xml:space="preserve">such as she knew He would give. I can</w:t>
        <w:br w:type="textWrapping"/>
        <w:t xml:space="preserve">hardly sce, as some have done, an unworthy</w:t>
        <w:br w:type="textWrapping"/>
        <w:t xml:space="preserve">spirit in the form of her expression, in ver.</w:t>
        <w:br w:type="textWrapping"/>
        <w:t xml:space="preserve">22. It was said in the simplicity of her</w:t>
        <w:br w:type="textWrapping"/>
        <w:t xml:space="preserve">faith, which, it is true, was not yet a fully</w:t>
        <w:br w:type="textWrapping"/>
        <w:t xml:space="preserve">ripened faith: but it differs little from our</w:t>
        <w:br w:type="textWrapping"/>
        <w:t xml:space="preserve">Lord’s own words, ver. 41. The repetition</w:t>
        <w:br w:type="textWrapping"/>
        <w:t xml:space="preserve">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 be noticed, as expressive of her faith in the unity of purpose and action between Jesus and God.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believe these words of our</w:t>
        <w:br w:type="textWrapping"/>
        <w:t xml:space="preserve">Lord to contain no allusion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immediate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restoration of Lazarus; but to be</w:t>
        <w:br w:type="textWrapping"/>
        <w:t xml:space="preserve">designedly used to lead on to the requisite</w:t>
        <w:br w:type="textWrapping"/>
        <w:t xml:space="preserve">faith in her mind.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 understands the words rightly, but gently repels</w:t>
        <w:br w:type="textWrapping"/>
        <w:t xml:space="preserve">the insufficient comfort of his ultimate</w:t>
        <w:br w:type="textWrapping"/>
        <w:t xml:space="preserve">resurrection.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25, 26.] {25}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Stier observes,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central point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history;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testimony to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 subsequent miracle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proof.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saying</w:t>
        <w:br w:type="textWrapping"/>
        <w:t xml:space="preserve">seems to have been, to awaken in Martha</w:t>
        <w:br w:type="textWrapping"/>
        <w:t xml:space="preserve">the faith that He could raise her brother</w:t>
        <w:br w:type="textWrapping"/>
        <w:t xml:space="preserve">from the dead, in its highest and proper</w:t>
        <w:br w:type="textWrapping"/>
        <w:t xml:space="preserve">form. This He does by announcing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the expressed emphatic personal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pronoun,—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I, and no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...) as ‘THE</w:t>
        <w:br w:type="textWrapping"/>
        <w:t xml:space="preserve">RESURRECTION’ (meaning,—that resurrection in the last day shall be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my</w:t>
        <w:br w:type="textWrapping"/>
        <w:t xml:space="preserve">Power,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therefore I can raise now as</w:t>
        <w:br w:type="textWrapping"/>
        <w:t xml:space="preserve">well), and more than that, THE LIFE</w:t>
        <w:br w:type="textWrapping"/>
        <w:t xml:space="preserve">ITSELF: so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believeth in 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Lazarus,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her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even though</w:t>
        <w:br w:type="textWrapping"/>
        <w:t xml:space="preserve">he have died, shall live; {26} and he that</w:t>
        <w:br w:type="textWrapping"/>
        <w:t xml:space="preserve">liveth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(physically;—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yet dead’)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believeth in me, shall not die for evermore: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‘faith in Me is the source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here and hereafter;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those</w:t>
        <w:br w:type="textWrapping"/>
        <w:t xml:space="preserve">who have it, have Life, so that they shall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NEVER DIE;’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overlooked and disregarded, in comparison with</w:t>
        <w:br w:type="textWrapping"/>
        <w:t xml:space="preserve">that which is really and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(against Lampe,</w:t>
        <w:br w:type="textWrapping"/>
        <w:t xml:space="preserve">Olshausen, and Stier) taken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</w:t>
        <w:br w:type="textWrapping"/>
        <w:t xml:space="preserve">life,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stands opposed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he</w:t>
        <w:br w:type="textWrapping"/>
        <w:t xml:space="preserve">have died.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believeth in 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subject of both clauses; in the former it is said that 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he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EHRRghejVS2kSVcRHIF5dDvwg==">CgMxLjA4AHIhMUJOQTN2czRnZDZKeUNrUEVtdFZWYXU4OXVuV1A5SEhR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