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plotted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they might slay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might slay Him).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Observe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here, used as designating the official body. He was still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among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Ephr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city is</w:t>
        <w:br w:type="textWrapping"/>
        <w:t xml:space="preserve">mentioned 2 Chron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xiii. 19 in connexion</w:t>
        <w:br w:type="textWrapping"/>
        <w:t xml:space="preserve">with Bethel, as also by Josephus. It was</w:t>
        <w:br w:type="textWrapping"/>
        <w:t xml:space="preserve">near to the wilderness, i.e. to the desert of</w:t>
        <w:br w:type="textWrapping"/>
        <w:t xml:space="preserve">Judah. Its situation is at present unknown. Robinson supposes it to be the</w:t>
        <w:br w:type="textWrapping"/>
        <w:t xml:space="preserve">same with Ophrah (Josh. xviii. 23: 1 Sam.</w:t>
        <w:br w:type="textWrapping"/>
        <w:t xml:space="preserve">xiii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17: not Judg. vi. 11, 24; viii. 27)</w:t>
        <w:br w:type="textWrapping"/>
        <w:t xml:space="preserve">and Ephron of the O.T. (2 Chron.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 19),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modern et-Taiyibeh, twenty Roman</w:t>
        <w:br w:type="textWrapping"/>
        <w:t xml:space="preserve">miles from Jerusalem.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country,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 not 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  <w:br w:type="textWrapping"/>
        <w:t xml:space="preserve">country,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spoken of in the last verse, but,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country generally.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went up thus</w:t>
        <w:br w:type="textWrapping"/>
        <w:t xml:space="preserve">early, that they might have time to purify</w:t>
        <w:br w:type="textWrapping"/>
        <w:t xml:space="preserve">themselves from any Levitical uncleanness,</w:t>
        <w:br w:type="textWrapping"/>
        <w:t xml:space="preserve">that they might be able to keep the P:</w:t>
        <w:br w:type="textWrapping"/>
        <w:t xml:space="preserve">over; see Num.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ix.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10: 2 Chron. xxx. 17: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Acts xxi. 24, 26;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xxiv. 18.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verse depends on the insertion or omission of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before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chief priests.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Without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it, the verse</w:t>
        <w:br w:type="textWrapping"/>
        <w:t xml:space="preserve">is merely an explanation of the people’s</w:t>
        <w:br w:type="textWrapping"/>
        <w:t xml:space="preserve">question, which was asked in consequence</w:t>
        <w:br w:type="textWrapping"/>
        <w:t xml:space="preserve">of the order having been issued by the</w:t>
        <w:br w:type="textWrapping"/>
        <w:t xml:space="preserve">chief priests &amp;c.: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it, it would mean,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besides, the chief priests’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.;</w:t>
        <w:br w:type="textWrapping"/>
        <w:t xml:space="preserve">i.e. ‘not only did the people question,</w:t>
        <w:br w:type="textWrapping"/>
        <w:t xml:space="preserve">but’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former is in my view most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probable; for the command having been</w:t>
        <w:br w:type="textWrapping"/>
        <w:t xml:space="preserve">given would satisfactorily account for the</w:t>
        <w:br w:type="textWrapping"/>
        <w:t xml:space="preserve">questioning, and not be stated merely as</w:t>
        <w:br w:type="textWrapping"/>
        <w:t xml:space="preserve">co-ordinate with it.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XII. 1—36.]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PROPHETIC ANTICIPATIONS OF THE LORD’S GLORIFICATION BY DEATH.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1—11.]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arrival,</w:t>
        <w:br w:type="textWrapping"/>
        <w:t xml:space="preserve">and anointing, at Bethany, according to</w:t>
        <w:br w:type="textWrapping"/>
        <w:t xml:space="preserve">the ordinary sense of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six days</w:t>
        <w:br w:type="textWrapping"/>
        <w:t xml:space="preserve">before the passover,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eighth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the month Nisan, if the passover was on</w:t>
        <w:br w:type="textWrapping"/>
        <w:t xml:space="preserve">the fourteenth. That day was a Sabbath;</w:t>
        <w:br w:type="textWrapping"/>
        <w:t xml:space="preserve">but this makes no difficulty, as we know</w:t>
        <w:br w:type="textWrapping"/>
        <w:t xml:space="preserve">not from what point our Lord came, or</w:t>
        <w:br w:type="textWrapping"/>
        <w:t xml:space="preserve">whether He arrived at the commencement</w:t>
        <w:br w:type="textWrapping"/>
        <w:t xml:space="preserve">of the Sabbath, i.e. sunset,—or a little</w:t>
        <w:br w:type="textWrapping"/>
        <w:t xml:space="preserve">after, on Friday evening, from Jericho.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made him a supper]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is not said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was, from Matthew</w:t>
        <w:br w:type="textWrapping"/>
        <w:t xml:space="preserve">and Mark, in the house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Simon the leper.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Lazar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being there, and Martha</w:t>
        <w:br w:type="textWrapping"/>
        <w:t xml:space="preserve">serving, he may have been a near relative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theirs.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notes on Matthew.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Lazarus is 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entioned throughout the incident, as forming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element in the</w:t>
        <w:br w:type="textWrapping"/>
        <w:t xml:space="preserve">unfolding of the hatred of the Jews which</w:t>
        <w:br w:type="textWrapping"/>
        <w:t xml:space="preserve">issued in the Lord’s death: notice the</w:t>
        <w:br w:type="textWrapping"/>
        <w:t xml:space="preserve">climax, from mere connecting mention in</w:t>
        <w:br w:type="textWrapping"/>
        <w:t xml:space="preserve">ver. 1, then nearer connexion in ver. 2,—</w:t>
        <w:br w:type="textWrapping"/>
        <w:t xml:space="preserve">to his being the cause of the Jews flocking</w:t>
        <w:br w:type="textWrapping"/>
        <w:t xml:space="preserve">to Bethany in ver. 9,—and the joint object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zj0Pk6e6Ub6KDNwAsdf/HybQRA==">CgMxLjA4AHIhMUR1Z0hkMlhhaEtmWmd0Wkt0cVNBYTd4OFFqOVNJVXh3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