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35; ch. viii. 12; ix.</w:t>
        <w:br w:type="textWrapping"/>
        <w:t xml:space="preserve">5.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not remain in the darkness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implies that all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originally in</w:t>
        <w:br w:type="textWrapping"/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the same kind of expression</w:t>
        <w:br w:type="textWrapping"/>
        <w:t xml:space="preserve">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iii.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45; 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also v. 45 ff., and Heb. iv. 12.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v. 30; vii. 16, 17, 28, 29;</w:t>
        <w:br w:type="textWrapping"/>
        <w:t xml:space="preserve">viii, 26, 28, 38. On the Father giving</w:t>
        <w:br w:type="textWrapping"/>
        <w:t xml:space="preserve">the Son commandment, ch. x. 18.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does not appear to be any real</w:t>
        <w:br w:type="textWrapping"/>
        <w:t xml:space="preserve">difference here, though many have been</w:t>
        <w:br w:type="textWrapping"/>
        <w:t xml:space="preserve">suggested, between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vi. 63 (and</w:t>
        <w:br w:type="textWrapping"/>
        <w:t xml:space="preserve">note), 68.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results in, not as a means merely, but in</w:t>
        <w:br w:type="textWrapping"/>
        <w:t xml:space="preserve">its accomplishment and expansion,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</w:t>
        <w:br w:type="textWrapping"/>
        <w:t xml:space="preserve">life: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iii. 15; v. 24; vi. 40.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all who do not believe are without</w:t>
        <w:br w:type="textWrapping"/>
        <w:t xml:space="preserve">excuse;—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 is not come, and</w:t>
        <w:br w:type="textWrapping"/>
        <w:t xml:space="preserve">speaks not, of Himself, but of the Father,</w:t>
        <w:br w:type="textWrapping"/>
        <w:t xml:space="preserve">se will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respecting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should be and give, Life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all. They who reject Him, reject Life, and (ch. iii. 19) prefer darkness to Light.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XIII.—XX.]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Third division of the Gospel. JESUS AND HIS OWN.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XIII.—XVII.]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LOVE, AND THE FAITH OF HIS OWN.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XIII. 1—30.]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LOVE IN HUMILIATION.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1—11.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condescension in washing their feet.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the chronological difficulties, see notes</w:t>
        <w:br w:type="textWrapping"/>
        <w:t xml:space="preserve">on Matt. xxvi. 17, and ch. xviii. 28.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There can be no reasonable doubt that</w:t>
        <w:br w:type="textWrapping"/>
        <w:t xml:space="preserve">this meal was the same as that at which</w:t>
        <w:br w:type="textWrapping"/>
        <w:t xml:space="preserve">the Lord’s Supper was instituted, as related in the three Evangelists. The narrative proceeds without any break until</w:t>
        <w:br w:type="textWrapping"/>
        <w:t xml:space="preserve">ch. xvii. 26, after which our Lord and the</w:t>
        <w:br w:type="textWrapping"/>
        <w:t xml:space="preserve">disciples go to Gethsemane.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before</w:t>
        <w:br w:type="textWrapping"/>
        <w:t xml:space="preserve">the feast of the passover]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long,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not said: but probably, a very short time;—not more than one day at the most;—see ch. xviii. 28 and note. The words</w:t>
        <w:br w:type="textWrapping"/>
        <w:t xml:space="preserve">belong to the whole narrative following,</w:t>
        <w:br w:type="textWrapping"/>
        <w:t xml:space="preserve">not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 loved.</w:t>
        <w:br w:type="textWrapping"/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knowing]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view with which our Lord</w:t>
        <w:br w:type="textWrapping"/>
        <w:t xml:space="preserve">washed His disciples’ feet, is shewn by the</w:t>
        <w:br w:type="textWrapping"/>
        <w:t xml:space="preserve">repetition of this word in verses 1, 3, and</w:t>
        <w:br w:type="textWrapping"/>
        <w:t xml:space="preserve">by the mention of His love for His disciples.</w:t>
        <w:br w:type="textWrapping"/>
        <w:t xml:space="preserve">The connexion is:—‘Jesus loved His own</w:t>
        <w:br w:type="textWrapping"/>
        <w:t xml:space="preserve">even to the end (of His life in the flesh),</w:t>
        <w:br w:type="textWrapping"/>
        <w:t xml:space="preserve">and gave them in the washing of their</w:t>
        <w:br w:type="textWrapping"/>
        <w:t xml:space="preserve">feet a proof of His love; and to this act</w:t>
        <w:br w:type="textWrapping"/>
        <w:t xml:space="preserve">He was induced by the knowledge that</w:t>
        <w:br w:type="textWrapping"/>
        <w:t xml:space="preserve">He must soon leave this world; and although this knowledge was united (ver. 3)</w:t>
        <w:br w:type="textWrapping"/>
        <w:t xml:space="preserve">with the highest consciousness of His</w:t>
        <w:br w:type="textWrapping"/>
        <w:t xml:space="preserve">divine mission and speedy glorification,</w:t>
        <w:br w:type="textWrapping"/>
        <w:t xml:space="preserve">yet this latter did not prevent Him from</w:t>
        <w:br w:type="textWrapping"/>
        <w:t xml:space="preserve">giving this proof of His self-humiliating</w:t>
        <w:br w:type="textWrapping"/>
        <w:t xml:space="preserve">love’ (De Wette).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own which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vwhj7IR4eqpAEd3UUVVJlTbYDg==">CgMxLjA4AHIhMUZNWml5ZXh0WEI0dzlJN2xFdGZPLXpsTXEwdHRqRTNT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